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10E01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b/>
          <w:sz w:val="26"/>
        </w:rPr>
      </w:pPr>
      <w:r>
        <w:rPr>
          <w:rFonts w:ascii="Times" w:hAnsi="Times"/>
          <w:b/>
          <w:sz w:val="26"/>
        </w:rPr>
        <w:t>Masterprogrammet vid Språk- och litteraturcentrum, Lunds universitet:</w:t>
      </w:r>
    </w:p>
    <w:p w14:paraId="02333F31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b/>
          <w:sz w:val="26"/>
        </w:rPr>
      </w:pPr>
      <w:r>
        <w:rPr>
          <w:rFonts w:ascii="Times" w:hAnsi="Times"/>
          <w:b/>
          <w:sz w:val="26"/>
        </w:rPr>
        <w:t>Litteratur – Kultur – Media</w:t>
      </w:r>
    </w:p>
    <w:p w14:paraId="030BF3FA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7C9B61A3" w14:textId="086667CA" w:rsidR="007B114F" w:rsidRDefault="007B114F" w:rsidP="007B114F">
      <w:pPr>
        <w:pStyle w:val="Rubrik5"/>
      </w:pPr>
      <w:r>
        <w:t>LIVR48  Svensk och dansk litterär kanon i historiska och teoretiska perspektiv</w:t>
      </w:r>
      <w:r w:rsidR="00783FE5">
        <w:t xml:space="preserve"> (15 hp)</w:t>
      </w:r>
      <w:r w:rsidR="00442DBF">
        <w:tab/>
      </w:r>
      <w:r w:rsidR="00442DBF">
        <w:tab/>
      </w:r>
      <w:r w:rsidR="00442DBF">
        <w:tab/>
      </w:r>
      <w:r w:rsidR="00442DBF">
        <w:tab/>
        <w:t>Ht13</w:t>
      </w:r>
    </w:p>
    <w:p w14:paraId="6FFD944E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40"/>
        </w:rPr>
      </w:pPr>
      <w:bookmarkStart w:id="0" w:name="_GoBack"/>
      <w:bookmarkEnd w:id="0"/>
    </w:p>
    <w:p w14:paraId="6E2F74D6" w14:textId="77777777" w:rsidR="007B114F" w:rsidRDefault="007B114F" w:rsidP="007B114F">
      <w:pPr>
        <w:pStyle w:val="Rubrik6"/>
      </w:pPr>
      <w:r>
        <w:t>Litteraturlista</w:t>
      </w:r>
    </w:p>
    <w:p w14:paraId="2DA2235D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 </w:t>
      </w:r>
    </w:p>
    <w:p w14:paraId="403376BC" w14:textId="77777777" w:rsidR="007B114F" w:rsidRDefault="007B114F" w:rsidP="007B114F">
      <w:pPr>
        <w:pStyle w:val="Rubrik1"/>
      </w:pPr>
      <w:r>
        <w:t>Litterära verk</w:t>
      </w:r>
    </w:p>
    <w:p w14:paraId="115EDCDF" w14:textId="77777777" w:rsidR="007B114F" w:rsidRDefault="007B114F" w:rsidP="007B114F">
      <w:pPr>
        <w:pStyle w:val="Brdtext2"/>
      </w:pPr>
      <w:r>
        <w:t>Ur följande gemensamma pensum väljs, i samrå</w:t>
      </w:r>
      <w:r w:rsidR="002E1BF4">
        <w:t>d med examinator</w:t>
      </w:r>
      <w:r>
        <w:t>, ett svensk och ett danskt verk för särskilt ingående och jämförande studier:</w:t>
      </w:r>
    </w:p>
    <w:p w14:paraId="7F4C10EE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243263F6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Lucidor, Lasse, </w:t>
      </w:r>
      <w:r>
        <w:rPr>
          <w:rFonts w:ascii="Times" w:hAnsi="Times"/>
          <w:i/>
          <w:sz w:val="26"/>
        </w:rPr>
        <w:t>Helicons blomster</w:t>
      </w:r>
      <w:r>
        <w:rPr>
          <w:rFonts w:ascii="Times" w:hAnsi="Times"/>
          <w:sz w:val="26"/>
        </w:rPr>
        <w:t xml:space="preserve"> 1689 (utgåva: Lars Johanson (Lucidor), </w:t>
      </w:r>
      <w:r>
        <w:rPr>
          <w:rFonts w:ascii="Times" w:hAnsi="Times"/>
          <w:i/>
          <w:sz w:val="26"/>
        </w:rPr>
        <w:t>Samlade dikter</w:t>
      </w:r>
      <w:r>
        <w:rPr>
          <w:rFonts w:ascii="Times" w:hAnsi="Times"/>
          <w:sz w:val="26"/>
        </w:rPr>
        <w:t>, utg. Stina Hansson, Svenska Vitte</w:t>
      </w:r>
      <w:r w:rsidR="00170890">
        <w:rPr>
          <w:rFonts w:ascii="Times" w:hAnsi="Times"/>
          <w:sz w:val="26"/>
        </w:rPr>
        <w:t>rhetssamfundet, Stockholm 1997)</w:t>
      </w:r>
    </w:p>
    <w:p w14:paraId="3C31A49E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Brenner, Sophia Elisabet, </w:t>
      </w:r>
      <w:r>
        <w:rPr>
          <w:rFonts w:ascii="Times" w:hAnsi="Times"/>
          <w:i/>
          <w:sz w:val="26"/>
        </w:rPr>
        <w:t>Poetiske Dikter</w:t>
      </w:r>
      <w:r>
        <w:rPr>
          <w:rFonts w:ascii="Times" w:hAnsi="Times"/>
          <w:sz w:val="26"/>
        </w:rPr>
        <w:t xml:space="preserve"> 1713 (utgåva: Brenner, </w:t>
      </w:r>
      <w:r>
        <w:rPr>
          <w:rFonts w:ascii="Times" w:hAnsi="Times"/>
          <w:i/>
          <w:sz w:val="26"/>
        </w:rPr>
        <w:t>Samlade dikter</w:t>
      </w:r>
      <w:r>
        <w:rPr>
          <w:rFonts w:ascii="Times" w:hAnsi="Times"/>
          <w:sz w:val="26"/>
        </w:rPr>
        <w:t>, del 1, utg. Valborg Lindgärde, Svenska Vitte</w:t>
      </w:r>
      <w:r w:rsidR="00170890">
        <w:rPr>
          <w:rFonts w:ascii="Times" w:hAnsi="Times"/>
          <w:sz w:val="26"/>
        </w:rPr>
        <w:t>rhetssamfundet, Stockholm 2009)</w:t>
      </w:r>
    </w:p>
    <w:p w14:paraId="5785097A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Bellman, Carl Michael, </w:t>
      </w:r>
      <w:r>
        <w:rPr>
          <w:rFonts w:ascii="Times" w:hAnsi="Times"/>
          <w:i/>
          <w:sz w:val="26"/>
        </w:rPr>
        <w:t>Fredmans Epistlar</w:t>
      </w:r>
      <w:r>
        <w:rPr>
          <w:rFonts w:ascii="Times" w:hAnsi="Times"/>
          <w:sz w:val="26"/>
        </w:rPr>
        <w:t xml:space="preserve"> 1790 (valfri utgåva där musiken ingår).</w:t>
      </w:r>
    </w:p>
    <w:p w14:paraId="25C9837C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Tegnér, Esaias, </w:t>
      </w:r>
      <w:r>
        <w:rPr>
          <w:rFonts w:ascii="Times" w:hAnsi="Times"/>
          <w:i/>
          <w:sz w:val="26"/>
        </w:rPr>
        <w:t>Frithiofs saga</w:t>
      </w:r>
      <w:r w:rsidR="00170890">
        <w:rPr>
          <w:rFonts w:ascii="Times" w:hAnsi="Times"/>
          <w:sz w:val="26"/>
        </w:rPr>
        <w:t xml:space="preserve"> 1825 (valfri utgåva)</w:t>
      </w:r>
    </w:p>
    <w:p w14:paraId="3EC5F0AE" w14:textId="77777777" w:rsidR="007B114F" w:rsidRP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Almqvist, Carl Jonas Love, </w:t>
      </w:r>
      <w:r>
        <w:rPr>
          <w:rFonts w:ascii="Times" w:hAnsi="Times"/>
          <w:i/>
          <w:sz w:val="26"/>
        </w:rPr>
        <w:t>Svenska fattigdomens betydelse</w:t>
      </w:r>
      <w:r w:rsidR="00170890">
        <w:rPr>
          <w:rFonts w:ascii="Times" w:hAnsi="Times"/>
          <w:sz w:val="26"/>
        </w:rPr>
        <w:t xml:space="preserve"> 1838 (valfri utgåva)</w:t>
      </w:r>
    </w:p>
    <w:p w14:paraId="3D2DB40C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Hansson, Ola, </w:t>
      </w:r>
      <w:r>
        <w:rPr>
          <w:rFonts w:ascii="Times" w:hAnsi="Times"/>
          <w:i/>
          <w:sz w:val="26"/>
        </w:rPr>
        <w:t>Sensitiva Amorosa</w:t>
      </w:r>
      <w:r w:rsidR="00170890">
        <w:rPr>
          <w:rFonts w:ascii="Times" w:hAnsi="Times"/>
          <w:sz w:val="26"/>
        </w:rPr>
        <w:t xml:space="preserve"> 1887 (valfri utgåva)</w:t>
      </w:r>
    </w:p>
    <w:p w14:paraId="1D6107A7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>Benedictsson, Victoria, ”Ur</w:t>
      </w:r>
      <w:r w:rsidR="00170890">
        <w:rPr>
          <w:rFonts w:ascii="Times" w:hAnsi="Times"/>
          <w:sz w:val="26"/>
        </w:rPr>
        <w:t xml:space="preserve"> mörkret” 1888 (valfri utgåva)</w:t>
      </w:r>
    </w:p>
    <w:p w14:paraId="014025A3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Strindberg, August, </w:t>
      </w:r>
      <w:r>
        <w:rPr>
          <w:rFonts w:ascii="Times" w:hAnsi="Times"/>
          <w:i/>
          <w:sz w:val="26"/>
        </w:rPr>
        <w:t>Ett drömspel</w:t>
      </w:r>
      <w:r w:rsidR="00170890">
        <w:rPr>
          <w:rFonts w:ascii="Times" w:hAnsi="Times"/>
          <w:sz w:val="26"/>
        </w:rPr>
        <w:t xml:space="preserve"> 1902 (valfri utgåva)</w:t>
      </w:r>
    </w:p>
    <w:p w14:paraId="7D1E87B1" w14:textId="77777777" w:rsidR="00EF1466" w:rsidRDefault="00EF1466" w:rsidP="00EF1466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Lagerlöf, Selma, </w:t>
      </w:r>
      <w:r>
        <w:rPr>
          <w:rFonts w:ascii="Times" w:hAnsi="Times"/>
          <w:i/>
          <w:sz w:val="26"/>
        </w:rPr>
        <w:t>Körkarlen</w:t>
      </w:r>
      <w:r>
        <w:rPr>
          <w:rFonts w:ascii="Times" w:hAnsi="Times"/>
          <w:sz w:val="26"/>
        </w:rPr>
        <w:t xml:space="preserve"> 1912 (valfri utgåva)</w:t>
      </w:r>
    </w:p>
    <w:p w14:paraId="14F09FB5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Södergran, Edith, </w:t>
      </w:r>
      <w:r>
        <w:rPr>
          <w:rFonts w:ascii="Times" w:hAnsi="Times"/>
          <w:i/>
          <w:sz w:val="26"/>
        </w:rPr>
        <w:t>Dikter</w:t>
      </w:r>
      <w:r w:rsidR="00170890">
        <w:rPr>
          <w:rFonts w:ascii="Times" w:hAnsi="Times"/>
          <w:sz w:val="26"/>
        </w:rPr>
        <w:t xml:space="preserve"> 1916 (valfri utgåva)</w:t>
      </w:r>
    </w:p>
    <w:p w14:paraId="6E2B8CCA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Lindgren, Astrid, </w:t>
      </w:r>
      <w:r>
        <w:rPr>
          <w:rFonts w:ascii="Times" w:hAnsi="Times"/>
          <w:i/>
          <w:sz w:val="26"/>
        </w:rPr>
        <w:t>Pippi Långstrump</w:t>
      </w:r>
      <w:r w:rsidR="00170890">
        <w:rPr>
          <w:rFonts w:ascii="Times" w:hAnsi="Times"/>
          <w:sz w:val="26"/>
        </w:rPr>
        <w:t xml:space="preserve"> 1945 (valfri utgåva)</w:t>
      </w:r>
    </w:p>
    <w:p w14:paraId="17C502E8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Moberg, Vilhelm, </w:t>
      </w:r>
      <w:r>
        <w:rPr>
          <w:rFonts w:ascii="Times" w:hAnsi="Times"/>
          <w:i/>
          <w:sz w:val="26"/>
        </w:rPr>
        <w:t>Utvandrarna</w:t>
      </w:r>
      <w:r w:rsidR="00170890">
        <w:rPr>
          <w:rFonts w:ascii="Times" w:hAnsi="Times"/>
          <w:sz w:val="26"/>
        </w:rPr>
        <w:t xml:space="preserve"> 1949 (valfri utgåva)</w:t>
      </w:r>
    </w:p>
    <w:p w14:paraId="7C0D2E28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Malmberg, Bertil, </w:t>
      </w:r>
      <w:r>
        <w:rPr>
          <w:rFonts w:ascii="Times" w:hAnsi="Times"/>
          <w:i/>
          <w:sz w:val="26"/>
        </w:rPr>
        <w:t xml:space="preserve"> Med cyklopöga</w:t>
      </w:r>
      <w:r>
        <w:rPr>
          <w:rFonts w:ascii="Times" w:hAnsi="Times"/>
          <w:sz w:val="26"/>
        </w:rPr>
        <w:t xml:space="preserve"> 1950 (valfri utgåva)</w:t>
      </w:r>
    </w:p>
    <w:p w14:paraId="20B0B75C" w14:textId="77777777" w:rsidR="000866F9" w:rsidRDefault="000866F9" w:rsidP="007B114F">
      <w:pPr>
        <w:widowControl w:val="0"/>
        <w:autoSpaceDE w:val="0"/>
        <w:autoSpaceDN w:val="0"/>
        <w:adjustRightInd w:val="0"/>
        <w:spacing w:line="264" w:lineRule="auto"/>
        <w:ind w:left="567" w:hanging="567"/>
        <w:rPr>
          <w:rFonts w:ascii="Times" w:hAnsi="Times"/>
          <w:sz w:val="26"/>
        </w:rPr>
      </w:pPr>
    </w:p>
    <w:p w14:paraId="3676FD98" w14:textId="77777777" w:rsidR="00FF0DD0" w:rsidRDefault="00FF0DD0" w:rsidP="00FF0DD0">
      <w:pPr>
        <w:widowControl w:val="0"/>
        <w:autoSpaceDE w:val="0"/>
        <w:autoSpaceDN w:val="0"/>
        <w:adjustRightInd w:val="0"/>
        <w:spacing w:line="264" w:lineRule="auto"/>
        <w:ind w:left="567" w:hanging="567"/>
      </w:pPr>
      <w:r w:rsidRPr="00303ED1">
        <w:t>Oehlensläger</w:t>
      </w:r>
      <w:r>
        <w:t xml:space="preserve">, </w:t>
      </w:r>
      <w:r w:rsidRPr="00303ED1">
        <w:t>Adam</w:t>
      </w:r>
      <w:r>
        <w:t>, ”De Kiörende” 1801, ”Der er et yndig land” 1819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0DEB7A67" w14:textId="77777777" w:rsidR="00FF0DD0" w:rsidRPr="00303ED1" w:rsidRDefault="00FF0DD0" w:rsidP="00FF0DD0">
      <w:r w:rsidRPr="00303ED1">
        <w:t>Blicher</w:t>
      </w:r>
      <w:r>
        <w:t xml:space="preserve">, </w:t>
      </w:r>
      <w:r w:rsidRPr="00303ED1">
        <w:t>Steen Steensen</w:t>
      </w:r>
      <w:r>
        <w:t>, ”Sildig opvaagen” 1828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1DC36E27" w14:textId="77777777" w:rsidR="000866F9" w:rsidRPr="00303ED1" w:rsidRDefault="000866F9" w:rsidP="000866F9">
      <w:r w:rsidRPr="00303ED1">
        <w:t>Andersen</w:t>
      </w:r>
      <w:r w:rsidR="00CA2714">
        <w:t xml:space="preserve">, </w:t>
      </w:r>
      <w:r w:rsidR="00CA2714" w:rsidRPr="00303ED1">
        <w:t>H.C.</w:t>
      </w:r>
      <w:r w:rsidR="00CA2714">
        <w:t>,</w:t>
      </w:r>
      <w:r w:rsidRPr="00303ED1">
        <w:t xml:space="preserve"> ”Den grimme ælling” 1835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6D659280" w14:textId="77777777" w:rsidR="00FF0DD0" w:rsidRPr="00303ED1" w:rsidRDefault="00FF0DD0" w:rsidP="00FF0DD0">
      <w:r w:rsidRPr="00303ED1">
        <w:t>Arrestrup</w:t>
      </w:r>
      <w:r>
        <w:t xml:space="preserve">, </w:t>
      </w:r>
      <w:r w:rsidRPr="00303ED1">
        <w:t>Emil</w:t>
      </w:r>
      <w:r>
        <w:t>, ”Angst” 1838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6CB22B83" w14:textId="77777777" w:rsidR="00FF0DD0" w:rsidRPr="00303ED1" w:rsidRDefault="00FF0DD0" w:rsidP="00FF0DD0">
      <w:r w:rsidRPr="00303ED1">
        <w:t>Kierkegaard</w:t>
      </w:r>
      <w:r>
        <w:t xml:space="preserve">, </w:t>
      </w:r>
      <w:r w:rsidRPr="00303ED1">
        <w:t>Søren</w:t>
      </w:r>
      <w:r>
        <w:t>, ur</w:t>
      </w:r>
      <w:r w:rsidRPr="00303ED1">
        <w:t xml:space="preserve"> </w:t>
      </w:r>
      <w:r w:rsidRPr="00303ED1">
        <w:rPr>
          <w:i/>
        </w:rPr>
        <w:t xml:space="preserve">Enten eller </w:t>
      </w:r>
      <w:r>
        <w:t>1843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0A3C39E7" w14:textId="77777777" w:rsidR="00FF0DD0" w:rsidRPr="00303ED1" w:rsidRDefault="00FF0DD0" w:rsidP="002E1BF4">
      <w:pPr>
        <w:ind w:left="567" w:hanging="567"/>
      </w:pPr>
      <w:r w:rsidRPr="00303ED1">
        <w:t xml:space="preserve">Brandes, </w:t>
      </w:r>
      <w:r>
        <w:t>George,</w:t>
      </w:r>
      <w:r w:rsidRPr="00303ED1">
        <w:t xml:space="preserve"> </w:t>
      </w:r>
      <w:r>
        <w:t xml:space="preserve">ur </w:t>
      </w:r>
      <w:r w:rsidRPr="00303ED1">
        <w:rPr>
          <w:i/>
        </w:rPr>
        <w:t>Hovedstrømninger i det 19de Aarhundredes Litteratur</w:t>
      </w:r>
      <w:r>
        <w:t xml:space="preserve"> 1872, </w:t>
      </w:r>
      <w:r w:rsidR="002E1BF4">
        <w:rPr>
          <w:rFonts w:ascii="Times" w:hAnsi="Times"/>
          <w:sz w:val="26"/>
        </w:rPr>
        <w:t xml:space="preserve">(valfri utgåva, </w:t>
      </w:r>
      <w:r>
        <w:t xml:space="preserve">enligt </w:t>
      </w:r>
      <w:r w:rsidR="002E1BF4">
        <w:t xml:space="preserve">senare </w:t>
      </w:r>
      <w:r>
        <w:t>anvisningar</w:t>
      </w:r>
      <w:r w:rsidR="002E1BF4">
        <w:t>)</w:t>
      </w:r>
    </w:p>
    <w:p w14:paraId="43860964" w14:textId="77777777" w:rsidR="00FF0DD0" w:rsidRDefault="00FF0DD0" w:rsidP="00FF0DD0">
      <w:pPr>
        <w:widowControl w:val="0"/>
        <w:autoSpaceDE w:val="0"/>
        <w:autoSpaceDN w:val="0"/>
        <w:adjustRightInd w:val="0"/>
        <w:spacing w:line="264" w:lineRule="auto"/>
        <w:ind w:left="567" w:hanging="567"/>
      </w:pPr>
      <w:r w:rsidRPr="00303ED1">
        <w:t>Jacobsen, J. P</w:t>
      </w:r>
      <w:r>
        <w:t>.,</w:t>
      </w:r>
      <w:r w:rsidRPr="00303ED1">
        <w:t xml:space="preserve"> </w:t>
      </w:r>
      <w:r w:rsidRPr="00303ED1">
        <w:rPr>
          <w:i/>
        </w:rPr>
        <w:t>Mogens</w:t>
      </w:r>
      <w:r>
        <w:t xml:space="preserve"> 1872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08231D32" w14:textId="77777777" w:rsidR="000866F9" w:rsidRPr="00303ED1" w:rsidRDefault="000866F9" w:rsidP="000866F9">
      <w:r w:rsidRPr="00303ED1">
        <w:t>Pontoppidan</w:t>
      </w:r>
      <w:r w:rsidR="00CA2714">
        <w:t xml:space="preserve">, </w:t>
      </w:r>
      <w:r w:rsidR="00CA2714" w:rsidRPr="00303ED1">
        <w:t>Henrik</w:t>
      </w:r>
      <w:r w:rsidR="00CA2714">
        <w:t xml:space="preserve">, </w:t>
      </w:r>
      <w:r w:rsidRPr="00303ED1">
        <w:t>”Ørneflugt” 1894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4623AECD" w14:textId="77777777" w:rsidR="000866F9" w:rsidRDefault="00CA2714" w:rsidP="000866F9">
      <w:pPr>
        <w:widowControl w:val="0"/>
        <w:autoSpaceDE w:val="0"/>
        <w:autoSpaceDN w:val="0"/>
        <w:adjustRightInd w:val="0"/>
        <w:spacing w:line="264" w:lineRule="auto"/>
        <w:ind w:left="567" w:hanging="567"/>
      </w:pPr>
      <w:r>
        <w:t xml:space="preserve">Blixen, </w:t>
      </w:r>
      <w:r w:rsidRPr="00303ED1">
        <w:t>Karen</w:t>
      </w:r>
      <w:r>
        <w:t>,</w:t>
      </w:r>
      <w:r w:rsidR="000866F9" w:rsidRPr="00303ED1">
        <w:t xml:space="preserve"> ”Sorg</w:t>
      </w:r>
      <w:r w:rsidR="00FF0DD0">
        <w:t>-</w:t>
      </w:r>
      <w:r w:rsidR="000866F9" w:rsidRPr="00303ED1">
        <w:t>agre”</w:t>
      </w:r>
      <w:r w:rsidR="00FF0DD0">
        <w:t xml:space="preserve"> 1942</w:t>
      </w:r>
      <w:r w:rsidR="000866F9" w:rsidRPr="00303ED1">
        <w:t xml:space="preserve"> </w:t>
      </w:r>
      <w:r w:rsidR="002E1BF4">
        <w:t>och</w:t>
      </w:r>
      <w:r w:rsidR="000866F9" w:rsidRPr="00303ED1">
        <w:t xml:space="preserve"> ”Ringen”</w:t>
      </w:r>
      <w:r w:rsidR="00FF0DD0">
        <w:t xml:space="preserve"> 1958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61F5CBAF" w14:textId="77777777" w:rsidR="00FF0DD0" w:rsidRPr="00303ED1" w:rsidRDefault="00FF0DD0" w:rsidP="00FF0DD0">
      <w:r w:rsidRPr="00303ED1">
        <w:lastRenderedPageBreak/>
        <w:t>Hansen</w:t>
      </w:r>
      <w:r>
        <w:t xml:space="preserve">, </w:t>
      </w:r>
      <w:r w:rsidRPr="00303ED1">
        <w:t>Martin A.</w:t>
      </w:r>
      <w:r>
        <w:t>,</w:t>
      </w:r>
      <w:r w:rsidRPr="00303ED1">
        <w:t xml:space="preserve"> </w:t>
      </w:r>
      <w:r w:rsidRPr="00303ED1">
        <w:rPr>
          <w:i/>
        </w:rPr>
        <w:t>Løgneren</w:t>
      </w:r>
      <w:r>
        <w:t xml:space="preserve"> 1950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2D93D0EB" w14:textId="77777777" w:rsidR="000866F9" w:rsidRPr="00303ED1" w:rsidRDefault="000866F9" w:rsidP="000866F9">
      <w:r w:rsidRPr="00303ED1">
        <w:t>Rifbjerg</w:t>
      </w:r>
      <w:r w:rsidR="00CA2714">
        <w:t xml:space="preserve">, </w:t>
      </w:r>
      <w:r w:rsidR="00CA2714" w:rsidRPr="00303ED1">
        <w:t>Klaus</w:t>
      </w:r>
      <w:r w:rsidR="00CA2714">
        <w:t>,</w:t>
      </w:r>
      <w:r w:rsidRPr="00303ED1">
        <w:t xml:space="preserve"> </w:t>
      </w:r>
      <w:r w:rsidR="00CA2714">
        <w:t>ur</w:t>
      </w:r>
      <w:r w:rsidRPr="00303ED1">
        <w:t xml:space="preserve"> </w:t>
      </w:r>
      <w:r w:rsidRPr="00303ED1">
        <w:rPr>
          <w:i/>
        </w:rPr>
        <w:t>Konfrontation</w:t>
      </w:r>
      <w:r w:rsidRPr="00303ED1">
        <w:t xml:space="preserve"> </w:t>
      </w:r>
      <w:r w:rsidR="00CA2714">
        <w:t>1960</w:t>
      </w:r>
      <w:r w:rsidR="002E1BF4">
        <w:t xml:space="preserve"> </w:t>
      </w:r>
      <w:r w:rsidR="002E1BF4">
        <w:rPr>
          <w:rFonts w:ascii="Times" w:hAnsi="Times"/>
          <w:sz w:val="26"/>
        </w:rPr>
        <w:t xml:space="preserve">(valfri utgåva, </w:t>
      </w:r>
      <w:r w:rsidR="002E1BF4">
        <w:t>enligt senare anvisningar</w:t>
      </w:r>
      <w:r w:rsidR="002E1BF4">
        <w:rPr>
          <w:rFonts w:ascii="Times" w:hAnsi="Times"/>
          <w:sz w:val="26"/>
        </w:rPr>
        <w:t>).</w:t>
      </w:r>
    </w:p>
    <w:p w14:paraId="1AC280C5" w14:textId="77777777" w:rsidR="00FF0DD0" w:rsidRPr="00303ED1" w:rsidRDefault="00FF0DD0" w:rsidP="00FF0DD0">
      <w:r w:rsidRPr="00303ED1">
        <w:t>Andersen</w:t>
      </w:r>
      <w:r>
        <w:t xml:space="preserve">, </w:t>
      </w:r>
      <w:r w:rsidRPr="00303ED1">
        <w:t>Benny</w:t>
      </w:r>
      <w:r>
        <w:t>,</w:t>
      </w:r>
      <w:r w:rsidRPr="00303ED1">
        <w:t xml:space="preserve"> ”Den kritiske frø” 1960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32D2BE4A" w14:textId="77777777" w:rsidR="000866F9" w:rsidRPr="00303ED1" w:rsidRDefault="00CA2714" w:rsidP="000866F9">
      <w:r>
        <w:t>C</w:t>
      </w:r>
      <w:r w:rsidR="000866F9" w:rsidRPr="00303ED1">
        <w:t>hristensen</w:t>
      </w:r>
      <w:r>
        <w:t xml:space="preserve">, </w:t>
      </w:r>
      <w:r w:rsidRPr="00303ED1">
        <w:t>Inger</w:t>
      </w:r>
      <w:r>
        <w:t>,</w:t>
      </w:r>
      <w:r w:rsidR="000866F9" w:rsidRPr="00303ED1">
        <w:t xml:space="preserve"> </w:t>
      </w:r>
      <w:r>
        <w:t>ur</w:t>
      </w:r>
      <w:r w:rsidR="000866F9" w:rsidRPr="00303ED1">
        <w:t xml:space="preserve"> </w:t>
      </w:r>
      <w:r>
        <w:t xml:space="preserve"> </w:t>
      </w:r>
      <w:r w:rsidR="000866F9" w:rsidRPr="00EC0E13">
        <w:rPr>
          <w:i/>
        </w:rPr>
        <w:t>Græs</w:t>
      </w:r>
      <w:r>
        <w:t xml:space="preserve"> 1963</w:t>
      </w:r>
      <w:r w:rsidR="00FF0DD0">
        <w:t xml:space="preserve">, </w:t>
      </w:r>
      <w:r w:rsidR="002E1BF4">
        <w:rPr>
          <w:rFonts w:ascii="Times" w:hAnsi="Times"/>
          <w:sz w:val="26"/>
        </w:rPr>
        <w:t xml:space="preserve">(valfri utgåva, </w:t>
      </w:r>
      <w:r w:rsidR="00FF0DD0">
        <w:t xml:space="preserve">enligt </w:t>
      </w:r>
      <w:r w:rsidR="002E1BF4">
        <w:t xml:space="preserve">senare </w:t>
      </w:r>
      <w:r w:rsidR="00FF0DD0">
        <w:t>anvisningar</w:t>
      </w:r>
      <w:r w:rsidR="002E1BF4">
        <w:t>)</w:t>
      </w:r>
    </w:p>
    <w:p w14:paraId="59DAE39D" w14:textId="77777777" w:rsidR="000866F9" w:rsidRDefault="000866F9" w:rsidP="000866F9">
      <w:pPr>
        <w:rPr>
          <w:color w:val="000000"/>
        </w:rPr>
      </w:pPr>
      <w:r w:rsidRPr="00303ED1">
        <w:rPr>
          <w:color w:val="000000"/>
        </w:rPr>
        <w:t>Malinowski</w:t>
      </w:r>
      <w:r w:rsidR="00CA2714">
        <w:rPr>
          <w:color w:val="000000"/>
        </w:rPr>
        <w:t xml:space="preserve">, </w:t>
      </w:r>
      <w:r w:rsidR="00CA2714" w:rsidRPr="00303ED1">
        <w:rPr>
          <w:color w:val="000000"/>
        </w:rPr>
        <w:t>Ivan</w:t>
      </w:r>
      <w:r w:rsidR="00CA2714">
        <w:rPr>
          <w:color w:val="000000"/>
        </w:rPr>
        <w:t>,</w:t>
      </w:r>
      <w:r w:rsidRPr="00303ED1">
        <w:rPr>
          <w:color w:val="000000"/>
        </w:rPr>
        <w:t xml:space="preserve"> ”</w:t>
      </w:r>
      <w:r w:rsidRPr="00EC0E13">
        <w:rPr>
          <w:color w:val="000000"/>
        </w:rPr>
        <w:t>Benzinhjertet</w:t>
      </w:r>
      <w:r w:rsidRPr="00303ED1">
        <w:rPr>
          <w:color w:val="000000"/>
        </w:rPr>
        <w:t>”</w:t>
      </w:r>
      <w:r w:rsidR="00CA2714">
        <w:rPr>
          <w:color w:val="000000"/>
        </w:rPr>
        <w:t xml:space="preserve"> 1967</w:t>
      </w:r>
      <w:r w:rsidR="002E1BF4">
        <w:rPr>
          <w:color w:val="000000"/>
        </w:rPr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3D5AE9DC" w14:textId="77777777" w:rsidR="000866F9" w:rsidRDefault="000866F9" w:rsidP="000866F9">
      <w:r>
        <w:t>Nielsen</w:t>
      </w:r>
      <w:r w:rsidR="00CA2714">
        <w:t>, Hans-Jørgen, ”Konstateringer” 1967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63CA5F02" w14:textId="77777777" w:rsidR="000866F9" w:rsidRPr="00303ED1" w:rsidRDefault="000866F9" w:rsidP="000866F9">
      <w:r>
        <w:t>Højholt</w:t>
      </w:r>
      <w:r w:rsidR="00CA2714">
        <w:t>, Per, ”Henry” 1968</w:t>
      </w:r>
      <w:r w:rsidR="002E1BF4">
        <w:t xml:space="preserve"> </w:t>
      </w:r>
      <w:r w:rsidR="002E1BF4">
        <w:rPr>
          <w:rFonts w:ascii="Times" w:hAnsi="Times"/>
          <w:sz w:val="26"/>
        </w:rPr>
        <w:t>(valfri utgåva)</w:t>
      </w:r>
    </w:p>
    <w:p w14:paraId="65ABB182" w14:textId="77777777" w:rsidR="00FF0DD0" w:rsidRDefault="002E1BF4" w:rsidP="00FF0DD0">
      <w:r>
        <w:t>”</w:t>
      </w:r>
      <w:r w:rsidR="00FF0DD0" w:rsidRPr="00303ED1">
        <w:t>Re-sepp-ten</w:t>
      </w:r>
      <w:r>
        <w:t>” (</w:t>
      </w:r>
      <w:r w:rsidR="00FF0DD0">
        <w:t>”Vi er røde, vi er hvide”</w:t>
      </w:r>
      <w:r>
        <w:t>)</w:t>
      </w:r>
      <w:r w:rsidR="00FF0DD0">
        <w:t xml:space="preserve"> </w:t>
      </w:r>
      <w:r w:rsidR="00FF0DD0" w:rsidRPr="00303ED1">
        <w:t>19</w:t>
      </w:r>
      <w:r w:rsidR="00FF0DD0">
        <w:t>86</w:t>
      </w:r>
      <w:r>
        <w:t xml:space="preserve"> </w:t>
      </w:r>
      <w:r>
        <w:rPr>
          <w:rFonts w:ascii="Times" w:hAnsi="Times"/>
          <w:sz w:val="26"/>
        </w:rPr>
        <w:t>(valfri utgåva)</w:t>
      </w:r>
    </w:p>
    <w:p w14:paraId="06C5A3A5" w14:textId="77777777" w:rsidR="00FF0DD0" w:rsidRPr="00303ED1" w:rsidRDefault="00FF0DD0" w:rsidP="00FF0DD0">
      <w:r>
        <w:t xml:space="preserve">Urval dikter av Thorkild Bjørnvig </w:t>
      </w:r>
      <w:r w:rsidR="00170890">
        <w:t>och</w:t>
      </w:r>
      <w:r>
        <w:t xml:space="preserve"> Ole Sarvig, enligt </w:t>
      </w:r>
      <w:r w:rsidR="002E1BF4">
        <w:t xml:space="preserve">senare </w:t>
      </w:r>
      <w:r>
        <w:t>anvisningar</w:t>
      </w:r>
    </w:p>
    <w:p w14:paraId="67239521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5B1D08ED" w14:textId="2399B1D3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Utöver bokutgåvor upptar kursens studieobjekt texter ur den kritiska verkningshistorien, adaptationer av verken (film, teater, tonsättning, audiovisuella medier m.m.) samt ytterligare medier som mynt, frimärken, statyer och </w:t>
      </w:r>
      <w:r w:rsidR="00783FE5">
        <w:rPr>
          <w:rFonts w:ascii="Times" w:hAnsi="Times"/>
          <w:sz w:val="26"/>
        </w:rPr>
        <w:t>annan memorabilia</w:t>
      </w:r>
      <w:r>
        <w:rPr>
          <w:rFonts w:ascii="Times" w:hAnsi="Times"/>
          <w:sz w:val="26"/>
        </w:rPr>
        <w:t xml:space="preserve"> samt verksamheter hos litterära sällskap, prisnämnder och turismorganisationer. Dessa studieobjekt väljs i samråd med den undervisande läraren.</w:t>
      </w:r>
    </w:p>
    <w:p w14:paraId="03EC4232" w14:textId="77777777" w:rsidR="007B114F" w:rsidRDefault="007B114F" w:rsidP="007B114F">
      <w:pPr>
        <w:spacing w:line="264" w:lineRule="auto"/>
        <w:rPr>
          <w:rFonts w:ascii="Times" w:hAnsi="Times"/>
        </w:rPr>
      </w:pPr>
    </w:p>
    <w:p w14:paraId="19B42054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2E48F7C8" w14:textId="77777777" w:rsidR="007B114F" w:rsidRDefault="007B114F" w:rsidP="007B114F">
      <w:pPr>
        <w:pStyle w:val="Rubrik1"/>
      </w:pPr>
      <w:r>
        <w:t>Facklitteratur</w:t>
      </w:r>
    </w:p>
    <w:p w14:paraId="40566F26" w14:textId="77777777" w:rsidR="007B114F" w:rsidRDefault="007B114F" w:rsidP="007B114F">
      <w:pPr>
        <w:pStyle w:val="Rubrik4"/>
      </w:pPr>
      <w:r>
        <w:t>Texter om kanonformeringens teori och historia</w:t>
      </w:r>
    </w:p>
    <w:p w14:paraId="4EF2E72F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</w:pPr>
    </w:p>
    <w:p w14:paraId="579BE2DE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 xml:space="preserve">Crowther, ”Att definiera konst, försvara kanon och ifrågasätta kultur” i Anders Mortensen (red.) </w:t>
      </w:r>
      <w:r>
        <w:rPr>
          <w:rFonts w:ascii="Times-Bold" w:hAnsi="Times-Bold"/>
          <w:i/>
        </w:rPr>
        <w:t>Litteraturens värden</w:t>
      </w:r>
      <w:r>
        <w:rPr>
          <w:rFonts w:ascii="Times-Bold" w:hAnsi="Times-Bold"/>
        </w:rPr>
        <w:t>, Stockholm &amp; Stehag: Brutus Östlings Bokförlag Symposion AB 2009</w:t>
      </w:r>
      <w:r>
        <w:t xml:space="preserve">, s. 99–118 (20 s.) </w:t>
      </w:r>
    </w:p>
    <w:p w14:paraId="125B54F7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 xml:space="preserve">Cullhed, Anna, ”Nio greker, en herdinna och Goethe. Om lyrikens kanon 1746–1806”, </w:t>
      </w:r>
      <w:r>
        <w:rPr>
          <w:i/>
        </w:rPr>
        <w:t>TfL</w:t>
      </w:r>
      <w:r>
        <w:t xml:space="preserve"> 2001: 3, s. 3–15 (13 s.)</w:t>
      </w:r>
    </w:p>
    <w:p w14:paraId="54D733F0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 xml:space="preserve">Dahl, Per, ”Kanon, klassikere og kritiske udgaver”, i Lars Burman &amp; Barbro Ståhle Sjönell (red.), </w:t>
      </w:r>
      <w:r>
        <w:rPr>
          <w:i/>
        </w:rPr>
        <w:t>Text och tradition. Om textedering och kanonbildning</w:t>
      </w:r>
      <w:r>
        <w:t xml:space="preserve">, Stockholm 2002, s. 77–100 (24 s.) </w:t>
      </w:r>
    </w:p>
    <w:p w14:paraId="5EF05E78" w14:textId="77777777" w:rsidR="007B114F" w:rsidRDefault="007B114F" w:rsidP="007B114F">
      <w:pPr>
        <w:pStyle w:val="Indragetstycke"/>
        <w:spacing w:before="80"/>
        <w:ind w:right="-425"/>
      </w:pPr>
      <w:r>
        <w:t xml:space="preserve">Grinder-Hansen, Keld, ”Kanon – et middel til at opnå samlingskraft i samfundet?”, i Lars-Erik Jönsson m.fl. (red.), </w:t>
      </w:r>
      <w:r>
        <w:rPr>
          <w:i/>
        </w:rPr>
        <w:t>Historia och samtid i Danmark och Sverige</w:t>
      </w:r>
      <w:r>
        <w:t>, Göteborg: Makadam 2008, s. 149–165 (17 s.)</w:t>
      </w:r>
    </w:p>
    <w:p w14:paraId="46650B18" w14:textId="77777777" w:rsidR="007B114F" w:rsidRPr="00442DB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  <w:rPr>
          <w:lang w:val="en-US"/>
        </w:rPr>
      </w:pPr>
      <w:r w:rsidRPr="00442DBF">
        <w:rPr>
          <w:lang w:val="en-US"/>
        </w:rPr>
        <w:t>Guillory,</w:t>
      </w:r>
      <w:r w:rsidRPr="00442DBF">
        <w:rPr>
          <w:i/>
          <w:lang w:val="en-US"/>
        </w:rPr>
        <w:t xml:space="preserve"> </w:t>
      </w:r>
      <w:r w:rsidRPr="00442DBF">
        <w:rPr>
          <w:lang w:val="en-US"/>
        </w:rPr>
        <w:t xml:space="preserve">John, ”Canon” i Frank Lentriccia &amp; Thomas McLaughlin (red.), </w:t>
      </w:r>
      <w:r w:rsidRPr="00442DBF">
        <w:rPr>
          <w:i/>
          <w:lang w:val="en-US"/>
        </w:rPr>
        <w:t>Critical terms for literary study</w:t>
      </w:r>
      <w:r w:rsidRPr="00442DBF">
        <w:rPr>
          <w:lang w:val="en-US"/>
        </w:rPr>
        <w:t xml:space="preserve">, Chicago &amp; London: Univ. Of Chicago Press 1990, s. 233–249 (17 s.) </w:t>
      </w:r>
    </w:p>
    <w:p w14:paraId="2D6767F8" w14:textId="77777777" w:rsidR="007B114F" w:rsidRPr="00442DB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  <w:rPr>
          <w:lang w:val="en-US"/>
        </w:rPr>
      </w:pPr>
      <w:r w:rsidRPr="00442DBF">
        <w:rPr>
          <w:lang w:val="en-US"/>
        </w:rPr>
        <w:t xml:space="preserve">— , </w:t>
      </w:r>
      <w:r w:rsidRPr="00442DBF">
        <w:rPr>
          <w:i/>
          <w:lang w:val="en-US"/>
        </w:rPr>
        <w:t>Cultural Capital. The Problem of Literary Canon Formation</w:t>
      </w:r>
      <w:r w:rsidRPr="00442DBF">
        <w:rPr>
          <w:lang w:val="en-US"/>
        </w:rPr>
        <w:t>, Chicago: Univ, of Chicago Press 1993, i urval</w:t>
      </w:r>
    </w:p>
    <w:p w14:paraId="730C5D2C" w14:textId="77777777" w:rsidR="007B114F" w:rsidRDefault="007B114F" w:rsidP="007B114F">
      <w:pPr>
        <w:tabs>
          <w:tab w:val="left" w:pos="567"/>
          <w:tab w:val="left" w:pos="709"/>
          <w:tab w:val="left" w:pos="1418"/>
        </w:tabs>
        <w:spacing w:before="80"/>
        <w:ind w:left="567" w:right="-425" w:hanging="567"/>
      </w:pPr>
      <w:r>
        <w:t xml:space="preserve">Jonsson, Inge, ”Litterära klassiker?”, i </w:t>
      </w:r>
      <w:r>
        <w:rPr>
          <w:i/>
        </w:rPr>
        <w:t>Forskningens roll i offensiv kulturarvsvård. Rapport från ett seminarium</w:t>
      </w:r>
      <w:r>
        <w:t xml:space="preserve">, Hedemora: Gidlunds 1997, s. 57–66 (10 s.) </w:t>
      </w:r>
    </w:p>
    <w:p w14:paraId="3C5F5726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>Karlsohn,</w:t>
      </w:r>
      <w:r>
        <w:rPr>
          <w:i/>
        </w:rPr>
        <w:t xml:space="preserve"> </w:t>
      </w:r>
      <w:r>
        <w:t xml:space="preserve">Thomas, ”Kanon och kritik. En debatt och några eftertankar” i Katarina Leppänen &amp; Mikela Lundahl (red.), </w:t>
      </w:r>
      <w:r>
        <w:rPr>
          <w:i/>
        </w:rPr>
        <w:t>Kanon ifrågasatt. Kanonprocesser och makten över vetandet</w:t>
      </w:r>
      <w:r>
        <w:t>, Hedemora: Gidlunds 2009, s. 232–270 (39 s.)</w:t>
      </w:r>
    </w:p>
    <w:p w14:paraId="309F1184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lastRenderedPageBreak/>
        <w:t>Lundahl,</w:t>
      </w:r>
      <w:r>
        <w:rPr>
          <w:i/>
        </w:rPr>
        <w:t xml:space="preserve"> </w:t>
      </w:r>
      <w:r>
        <w:t xml:space="preserve">Mikela, ”Kanon och demokrati” i Katarina Leppänen &amp; Mikela Lundahl (red.), </w:t>
      </w:r>
      <w:r>
        <w:rPr>
          <w:i/>
        </w:rPr>
        <w:t>Kanon ifrågasatt. Kanonprocesser och makten över vetandet</w:t>
      </w:r>
      <w:r>
        <w:t>, Hedemora: Gidlunds 2009, s. 13–50 (38 s.)</w:t>
      </w:r>
    </w:p>
    <w:p w14:paraId="616FBE15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>Luthersson,</w:t>
      </w:r>
      <w:r>
        <w:rPr>
          <w:i/>
        </w:rPr>
        <w:t xml:space="preserve"> </w:t>
      </w:r>
      <w:r>
        <w:t xml:space="preserve">Peter, ”Litterär kanon och filateli” i </w:t>
      </w:r>
      <w:r>
        <w:rPr>
          <w:i/>
        </w:rPr>
        <w:t>Res Publica</w:t>
      </w:r>
      <w:r>
        <w:t xml:space="preserve"> 46/47 (2000), s. 44–60 (17 s.)</w:t>
      </w:r>
    </w:p>
    <w:p w14:paraId="16DC1043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>Mortensen,</w:t>
      </w:r>
      <w:r>
        <w:rPr>
          <w:i/>
        </w:rPr>
        <w:t xml:space="preserve"> </w:t>
      </w:r>
      <w:r>
        <w:t xml:space="preserve">Anders, ”Kanon i singularis och pluralis” i </w:t>
      </w:r>
      <w:r>
        <w:rPr>
          <w:i/>
        </w:rPr>
        <w:t>Res Publica</w:t>
      </w:r>
      <w:r>
        <w:t xml:space="preserve"> 46/47 (2000), s. 9–14 (6 s.)</w:t>
      </w:r>
    </w:p>
    <w:p w14:paraId="13688BA5" w14:textId="77777777" w:rsidR="007B114F" w:rsidRDefault="007B114F" w:rsidP="007B114F">
      <w:pPr>
        <w:tabs>
          <w:tab w:val="left" w:pos="284"/>
          <w:tab w:val="left" w:pos="709"/>
          <w:tab w:val="left" w:pos="1418"/>
        </w:tabs>
        <w:spacing w:before="80"/>
        <w:ind w:left="567" w:right="-425" w:hanging="567"/>
      </w:pPr>
      <w:r>
        <w:t>Williams,</w:t>
      </w:r>
      <w:r>
        <w:rPr>
          <w:i/>
        </w:rPr>
        <w:t xml:space="preserve"> </w:t>
      </w:r>
      <w:r>
        <w:t xml:space="preserve">Anna, </w:t>
      </w:r>
      <w:r>
        <w:rPr>
          <w:i/>
        </w:rPr>
        <w:t>Stjärnor utan stjärnbilder. Kvinnor och kanon i litteraturhistoriska översiktsverk under 1900-talet</w:t>
      </w:r>
      <w:r>
        <w:t>, Hedemora: Gidlunds 1997, kap. ”Att skapa litteraturhistoria”  (26  s.)</w:t>
      </w:r>
    </w:p>
    <w:p w14:paraId="2CC20059" w14:textId="77777777" w:rsidR="007B114F" w:rsidRDefault="007B114F" w:rsidP="007B114F">
      <w:pPr>
        <w:tabs>
          <w:tab w:val="left" w:pos="567"/>
          <w:tab w:val="left" w:pos="709"/>
          <w:tab w:val="left" w:pos="1418"/>
        </w:tabs>
        <w:spacing w:before="80"/>
        <w:ind w:left="567" w:right="-425" w:hanging="567"/>
      </w:pPr>
      <w:r>
        <w:t>Vulovic,</w:t>
      </w:r>
      <w:r>
        <w:rPr>
          <w:i/>
        </w:rPr>
        <w:t xml:space="preserve"> </w:t>
      </w:r>
      <w:r>
        <w:t xml:space="preserve">Jimmy, ”Kanonkamp och kollektiv identitet. Litterär bildning och smakfostran i 1920-talets svenska arbetarkultur” i Anders Mortensen (red.) </w:t>
      </w:r>
      <w:r>
        <w:rPr>
          <w:rFonts w:ascii="Times-Bold" w:hAnsi="Times-Bold"/>
          <w:i/>
        </w:rPr>
        <w:t>Litteraturens värden</w:t>
      </w:r>
      <w:r>
        <w:rPr>
          <w:rFonts w:ascii="Times-Bold" w:hAnsi="Times-Bold"/>
        </w:rPr>
        <w:t>, Stockholm &amp; Stehag: Brutus Östlings Bokförlag Symposion AB 2009</w:t>
      </w:r>
      <w:r>
        <w:t>, s. 206–220 (15 s.)</w:t>
      </w:r>
    </w:p>
    <w:p w14:paraId="29943425" w14:textId="77777777" w:rsidR="007B114F" w:rsidRDefault="007B114F" w:rsidP="007B114F">
      <w:pPr>
        <w:spacing w:line="312" w:lineRule="auto"/>
        <w:rPr>
          <w:sz w:val="36"/>
        </w:rPr>
      </w:pPr>
    </w:p>
    <w:p w14:paraId="35A132CE" w14:textId="77777777" w:rsidR="007B114F" w:rsidRDefault="007B114F" w:rsidP="007B114F">
      <w:pPr>
        <w:pStyle w:val="Brdtext"/>
        <w:rPr>
          <w:b w:val="0"/>
          <w:i/>
        </w:rPr>
      </w:pPr>
      <w:r>
        <w:rPr>
          <w:b w:val="0"/>
          <w:i/>
        </w:rPr>
        <w:t>Texter ur de litterära verkens värderings- och tolkningshistoria</w:t>
      </w:r>
    </w:p>
    <w:p w14:paraId="0426C7A1" w14:textId="77777777" w:rsidR="007B114F" w:rsidRDefault="007B114F" w:rsidP="007B114F">
      <w:pPr>
        <w:pStyle w:val="Brdtext2"/>
      </w:pPr>
      <w:r>
        <w:t xml:space="preserve">Enligt senare anvisningar.  </w:t>
      </w:r>
    </w:p>
    <w:p w14:paraId="5EC52734" w14:textId="77777777" w:rsidR="007B114F" w:rsidRDefault="007B114F" w:rsidP="007B114F">
      <w:pPr>
        <w:widowControl w:val="0"/>
        <w:autoSpaceDE w:val="0"/>
        <w:autoSpaceDN w:val="0"/>
        <w:adjustRightInd w:val="0"/>
        <w:spacing w:line="264" w:lineRule="auto"/>
        <w:rPr>
          <w:rFonts w:ascii="Times" w:hAnsi="Times"/>
          <w:sz w:val="26"/>
        </w:rPr>
      </w:pPr>
    </w:p>
    <w:p w14:paraId="4C7DED2D" w14:textId="77777777" w:rsidR="007104DA" w:rsidRDefault="007104DA"/>
    <w:sectPr w:rsidR="007104D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4F"/>
    <w:rsid w:val="000866F9"/>
    <w:rsid w:val="00170890"/>
    <w:rsid w:val="002E1BF4"/>
    <w:rsid w:val="00442DBF"/>
    <w:rsid w:val="007104DA"/>
    <w:rsid w:val="00783FE5"/>
    <w:rsid w:val="007B114F"/>
    <w:rsid w:val="00970130"/>
    <w:rsid w:val="00BA6583"/>
    <w:rsid w:val="00CA2714"/>
    <w:rsid w:val="00EF1466"/>
    <w:rsid w:val="00F44941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74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4F"/>
    <w:rPr>
      <w:rFonts w:ascii="Times New Roman" w:eastAsia="Times New Roman" w:hAnsi="Times New Roman" w:cs="Times New Roman"/>
      <w:noProof/>
    </w:rPr>
  </w:style>
  <w:style w:type="paragraph" w:styleId="Rubrik1">
    <w:name w:val="heading 1"/>
    <w:basedOn w:val="Normal"/>
    <w:next w:val="Normal"/>
    <w:link w:val="Rubrik1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outlineLvl w:val="0"/>
    </w:pPr>
    <w:rPr>
      <w:rFonts w:ascii="Times" w:hAnsi="Times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7B114F"/>
    <w:pPr>
      <w:keepNext/>
      <w:widowControl w:val="0"/>
      <w:autoSpaceDE w:val="0"/>
      <w:autoSpaceDN w:val="0"/>
      <w:adjustRightInd w:val="0"/>
      <w:spacing w:before="120" w:line="264" w:lineRule="auto"/>
      <w:outlineLvl w:val="3"/>
    </w:pPr>
    <w:rPr>
      <w:rFonts w:ascii="Times" w:hAnsi="Times"/>
      <w:i/>
      <w:sz w:val="26"/>
    </w:rPr>
  </w:style>
  <w:style w:type="paragraph" w:styleId="Rubrik5">
    <w:name w:val="heading 5"/>
    <w:basedOn w:val="Normal"/>
    <w:next w:val="Normal"/>
    <w:link w:val="Rubrik5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ind w:right="-800"/>
      <w:outlineLvl w:val="4"/>
    </w:pPr>
    <w:rPr>
      <w:rFonts w:ascii="Times" w:hAnsi="Times"/>
      <w:sz w:val="36"/>
    </w:rPr>
  </w:style>
  <w:style w:type="paragraph" w:styleId="Rubrik6">
    <w:name w:val="heading 6"/>
    <w:basedOn w:val="Normal"/>
    <w:next w:val="Normal"/>
    <w:link w:val="Rubrik6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outlineLvl w:val="5"/>
    </w:pPr>
    <w:rPr>
      <w:rFonts w:ascii="Times" w:hAnsi="Times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B114F"/>
    <w:rPr>
      <w:rFonts w:ascii="Times" w:eastAsia="Times New Roman" w:hAnsi="Times" w:cs="Times New Roman"/>
      <w:b/>
      <w:noProof/>
      <w:sz w:val="26"/>
    </w:rPr>
  </w:style>
  <w:style w:type="character" w:customStyle="1" w:styleId="Rubrik4Char">
    <w:name w:val="Rubrik 4 Char"/>
    <w:basedOn w:val="Standardstycketeckensnitt"/>
    <w:link w:val="Rubrik4"/>
    <w:rsid w:val="007B114F"/>
    <w:rPr>
      <w:rFonts w:ascii="Times" w:eastAsia="Times New Roman" w:hAnsi="Times" w:cs="Times New Roman"/>
      <w:i/>
      <w:noProof/>
      <w:sz w:val="26"/>
    </w:rPr>
  </w:style>
  <w:style w:type="character" w:customStyle="1" w:styleId="Rubrik5Char">
    <w:name w:val="Rubrik 5 Char"/>
    <w:basedOn w:val="Standardstycketeckensnitt"/>
    <w:link w:val="Rubrik5"/>
    <w:rsid w:val="007B114F"/>
    <w:rPr>
      <w:rFonts w:ascii="Times" w:eastAsia="Times New Roman" w:hAnsi="Times" w:cs="Times New Roman"/>
      <w:noProof/>
      <w:sz w:val="36"/>
    </w:rPr>
  </w:style>
  <w:style w:type="character" w:customStyle="1" w:styleId="Rubrik6Char">
    <w:name w:val="Rubrik 6 Char"/>
    <w:basedOn w:val="Standardstycketeckensnitt"/>
    <w:link w:val="Rubrik6"/>
    <w:rsid w:val="007B114F"/>
    <w:rPr>
      <w:rFonts w:ascii="Times" w:eastAsia="Times New Roman" w:hAnsi="Times" w:cs="Times New Roman"/>
      <w:noProof/>
      <w:sz w:val="36"/>
    </w:rPr>
  </w:style>
  <w:style w:type="paragraph" w:styleId="Indragetstycke">
    <w:name w:val="Block Text"/>
    <w:basedOn w:val="Normal"/>
    <w:rsid w:val="007B114F"/>
    <w:pPr>
      <w:tabs>
        <w:tab w:val="left" w:pos="284"/>
        <w:tab w:val="left" w:pos="709"/>
        <w:tab w:val="left" w:pos="1418"/>
      </w:tabs>
      <w:spacing w:before="200"/>
      <w:ind w:left="567" w:right="-426" w:hanging="567"/>
    </w:pPr>
  </w:style>
  <w:style w:type="paragraph" w:styleId="Brdtext">
    <w:name w:val="Body Text"/>
    <w:basedOn w:val="Normal"/>
    <w:link w:val="BrdtextChar"/>
    <w:rsid w:val="007B114F"/>
    <w:pPr>
      <w:widowControl w:val="0"/>
      <w:autoSpaceDE w:val="0"/>
      <w:autoSpaceDN w:val="0"/>
      <w:adjustRightInd w:val="0"/>
      <w:spacing w:line="264" w:lineRule="auto"/>
    </w:pPr>
    <w:rPr>
      <w:rFonts w:ascii="Times" w:hAnsi="Times"/>
      <w:b/>
      <w:sz w:val="26"/>
    </w:rPr>
  </w:style>
  <w:style w:type="character" w:customStyle="1" w:styleId="BrdtextChar">
    <w:name w:val="Brödtext Char"/>
    <w:basedOn w:val="Standardstycketeckensnitt"/>
    <w:link w:val="Brdtext"/>
    <w:rsid w:val="007B114F"/>
    <w:rPr>
      <w:rFonts w:ascii="Times" w:eastAsia="Times New Roman" w:hAnsi="Times" w:cs="Times New Roman"/>
      <w:b/>
      <w:noProof/>
      <w:sz w:val="26"/>
    </w:rPr>
  </w:style>
  <w:style w:type="paragraph" w:styleId="Brdtext2">
    <w:name w:val="Body Text 2"/>
    <w:basedOn w:val="Normal"/>
    <w:link w:val="Brdtext2Char"/>
    <w:rsid w:val="007B114F"/>
    <w:pPr>
      <w:widowControl w:val="0"/>
      <w:autoSpaceDE w:val="0"/>
      <w:autoSpaceDN w:val="0"/>
      <w:adjustRightInd w:val="0"/>
      <w:spacing w:before="120" w:line="264" w:lineRule="auto"/>
    </w:pPr>
    <w:rPr>
      <w:rFonts w:ascii="Times" w:hAnsi="Times"/>
      <w:sz w:val="26"/>
    </w:rPr>
  </w:style>
  <w:style w:type="character" w:customStyle="1" w:styleId="Brdtext2Char">
    <w:name w:val="Brödtext 2 Char"/>
    <w:basedOn w:val="Standardstycketeckensnitt"/>
    <w:link w:val="Brdtext2"/>
    <w:rsid w:val="007B114F"/>
    <w:rPr>
      <w:rFonts w:ascii="Times" w:eastAsia="Times New Roman" w:hAnsi="Times" w:cs="Times New Roman"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4F"/>
    <w:rPr>
      <w:rFonts w:ascii="Times New Roman" w:eastAsia="Times New Roman" w:hAnsi="Times New Roman" w:cs="Times New Roman"/>
      <w:noProof/>
    </w:rPr>
  </w:style>
  <w:style w:type="paragraph" w:styleId="Rubrik1">
    <w:name w:val="heading 1"/>
    <w:basedOn w:val="Normal"/>
    <w:next w:val="Normal"/>
    <w:link w:val="Rubrik1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outlineLvl w:val="0"/>
    </w:pPr>
    <w:rPr>
      <w:rFonts w:ascii="Times" w:hAnsi="Times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7B114F"/>
    <w:pPr>
      <w:keepNext/>
      <w:widowControl w:val="0"/>
      <w:autoSpaceDE w:val="0"/>
      <w:autoSpaceDN w:val="0"/>
      <w:adjustRightInd w:val="0"/>
      <w:spacing w:before="120" w:line="264" w:lineRule="auto"/>
      <w:outlineLvl w:val="3"/>
    </w:pPr>
    <w:rPr>
      <w:rFonts w:ascii="Times" w:hAnsi="Times"/>
      <w:i/>
      <w:sz w:val="26"/>
    </w:rPr>
  </w:style>
  <w:style w:type="paragraph" w:styleId="Rubrik5">
    <w:name w:val="heading 5"/>
    <w:basedOn w:val="Normal"/>
    <w:next w:val="Normal"/>
    <w:link w:val="Rubrik5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ind w:right="-800"/>
      <w:outlineLvl w:val="4"/>
    </w:pPr>
    <w:rPr>
      <w:rFonts w:ascii="Times" w:hAnsi="Times"/>
      <w:sz w:val="36"/>
    </w:rPr>
  </w:style>
  <w:style w:type="paragraph" w:styleId="Rubrik6">
    <w:name w:val="heading 6"/>
    <w:basedOn w:val="Normal"/>
    <w:next w:val="Normal"/>
    <w:link w:val="Rubrik6Char"/>
    <w:qFormat/>
    <w:rsid w:val="007B114F"/>
    <w:pPr>
      <w:keepNext/>
      <w:widowControl w:val="0"/>
      <w:autoSpaceDE w:val="0"/>
      <w:autoSpaceDN w:val="0"/>
      <w:adjustRightInd w:val="0"/>
      <w:spacing w:line="264" w:lineRule="auto"/>
      <w:outlineLvl w:val="5"/>
    </w:pPr>
    <w:rPr>
      <w:rFonts w:ascii="Times" w:hAnsi="Times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B114F"/>
    <w:rPr>
      <w:rFonts w:ascii="Times" w:eastAsia="Times New Roman" w:hAnsi="Times" w:cs="Times New Roman"/>
      <w:b/>
      <w:noProof/>
      <w:sz w:val="26"/>
    </w:rPr>
  </w:style>
  <w:style w:type="character" w:customStyle="1" w:styleId="Rubrik4Char">
    <w:name w:val="Rubrik 4 Char"/>
    <w:basedOn w:val="Standardstycketeckensnitt"/>
    <w:link w:val="Rubrik4"/>
    <w:rsid w:val="007B114F"/>
    <w:rPr>
      <w:rFonts w:ascii="Times" w:eastAsia="Times New Roman" w:hAnsi="Times" w:cs="Times New Roman"/>
      <w:i/>
      <w:noProof/>
      <w:sz w:val="26"/>
    </w:rPr>
  </w:style>
  <w:style w:type="character" w:customStyle="1" w:styleId="Rubrik5Char">
    <w:name w:val="Rubrik 5 Char"/>
    <w:basedOn w:val="Standardstycketeckensnitt"/>
    <w:link w:val="Rubrik5"/>
    <w:rsid w:val="007B114F"/>
    <w:rPr>
      <w:rFonts w:ascii="Times" w:eastAsia="Times New Roman" w:hAnsi="Times" w:cs="Times New Roman"/>
      <w:noProof/>
      <w:sz w:val="36"/>
    </w:rPr>
  </w:style>
  <w:style w:type="character" w:customStyle="1" w:styleId="Rubrik6Char">
    <w:name w:val="Rubrik 6 Char"/>
    <w:basedOn w:val="Standardstycketeckensnitt"/>
    <w:link w:val="Rubrik6"/>
    <w:rsid w:val="007B114F"/>
    <w:rPr>
      <w:rFonts w:ascii="Times" w:eastAsia="Times New Roman" w:hAnsi="Times" w:cs="Times New Roman"/>
      <w:noProof/>
      <w:sz w:val="36"/>
    </w:rPr>
  </w:style>
  <w:style w:type="paragraph" w:styleId="Indragetstycke">
    <w:name w:val="Block Text"/>
    <w:basedOn w:val="Normal"/>
    <w:rsid w:val="007B114F"/>
    <w:pPr>
      <w:tabs>
        <w:tab w:val="left" w:pos="284"/>
        <w:tab w:val="left" w:pos="709"/>
        <w:tab w:val="left" w:pos="1418"/>
      </w:tabs>
      <w:spacing w:before="200"/>
      <w:ind w:left="567" w:right="-426" w:hanging="567"/>
    </w:pPr>
  </w:style>
  <w:style w:type="paragraph" w:styleId="Brdtext">
    <w:name w:val="Body Text"/>
    <w:basedOn w:val="Normal"/>
    <w:link w:val="BrdtextChar"/>
    <w:rsid w:val="007B114F"/>
    <w:pPr>
      <w:widowControl w:val="0"/>
      <w:autoSpaceDE w:val="0"/>
      <w:autoSpaceDN w:val="0"/>
      <w:adjustRightInd w:val="0"/>
      <w:spacing w:line="264" w:lineRule="auto"/>
    </w:pPr>
    <w:rPr>
      <w:rFonts w:ascii="Times" w:hAnsi="Times"/>
      <w:b/>
      <w:sz w:val="26"/>
    </w:rPr>
  </w:style>
  <w:style w:type="character" w:customStyle="1" w:styleId="BrdtextChar">
    <w:name w:val="Brödtext Char"/>
    <w:basedOn w:val="Standardstycketeckensnitt"/>
    <w:link w:val="Brdtext"/>
    <w:rsid w:val="007B114F"/>
    <w:rPr>
      <w:rFonts w:ascii="Times" w:eastAsia="Times New Roman" w:hAnsi="Times" w:cs="Times New Roman"/>
      <w:b/>
      <w:noProof/>
      <w:sz w:val="26"/>
    </w:rPr>
  </w:style>
  <w:style w:type="paragraph" w:styleId="Brdtext2">
    <w:name w:val="Body Text 2"/>
    <w:basedOn w:val="Normal"/>
    <w:link w:val="Brdtext2Char"/>
    <w:rsid w:val="007B114F"/>
    <w:pPr>
      <w:widowControl w:val="0"/>
      <w:autoSpaceDE w:val="0"/>
      <w:autoSpaceDN w:val="0"/>
      <w:adjustRightInd w:val="0"/>
      <w:spacing w:before="120" w:line="264" w:lineRule="auto"/>
    </w:pPr>
    <w:rPr>
      <w:rFonts w:ascii="Times" w:hAnsi="Times"/>
      <w:sz w:val="26"/>
    </w:rPr>
  </w:style>
  <w:style w:type="character" w:customStyle="1" w:styleId="Brdtext2Char">
    <w:name w:val="Brödtext 2 Char"/>
    <w:basedOn w:val="Standardstycketeckensnitt"/>
    <w:link w:val="Brdtext2"/>
    <w:rsid w:val="007B114F"/>
    <w:rPr>
      <w:rFonts w:ascii="Times" w:eastAsia="Times New Roman" w:hAnsi="Times" w:cs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Mortensen</dc:creator>
  <cp:lastModifiedBy>litt-hni</cp:lastModifiedBy>
  <cp:revision>3</cp:revision>
  <dcterms:created xsi:type="dcterms:W3CDTF">2013-05-22T13:44:00Z</dcterms:created>
  <dcterms:modified xsi:type="dcterms:W3CDTF">2013-05-22T13:44:00Z</dcterms:modified>
</cp:coreProperties>
</file>