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42865" w14:textId="32AC271F" w:rsidR="00E47DC9" w:rsidRPr="00385C26" w:rsidRDefault="000818FC" w:rsidP="00E47DC9">
      <w:pPr>
        <w:rPr>
          <w:sz w:val="28"/>
          <w:szCs w:val="28"/>
        </w:rPr>
      </w:pPr>
      <w:r w:rsidRPr="00385C26">
        <w:rPr>
          <w:sz w:val="28"/>
          <w:szCs w:val="28"/>
        </w:rPr>
        <w:t>LIVK10:2</w:t>
      </w:r>
      <w:r w:rsidR="00E47DC9" w:rsidRPr="00385C26">
        <w:rPr>
          <w:sz w:val="28"/>
          <w:szCs w:val="28"/>
        </w:rPr>
        <w:tab/>
      </w:r>
      <w:r w:rsidR="00E47DC9" w:rsidRPr="00385C26">
        <w:rPr>
          <w:sz w:val="28"/>
          <w:szCs w:val="28"/>
        </w:rPr>
        <w:tab/>
      </w:r>
      <w:r w:rsidR="00E47DC9" w:rsidRPr="00385C26">
        <w:rPr>
          <w:sz w:val="28"/>
          <w:szCs w:val="28"/>
        </w:rPr>
        <w:tab/>
      </w:r>
      <w:r w:rsidR="00E47DC9" w:rsidRPr="00385C26">
        <w:rPr>
          <w:sz w:val="28"/>
          <w:szCs w:val="28"/>
        </w:rPr>
        <w:tab/>
      </w:r>
      <w:r w:rsidR="00E47DC9" w:rsidRPr="00385C26">
        <w:rPr>
          <w:sz w:val="28"/>
          <w:szCs w:val="28"/>
        </w:rPr>
        <w:tab/>
        <w:t xml:space="preserve">       </w:t>
      </w:r>
      <w:r w:rsidR="00292340" w:rsidRPr="00385C26">
        <w:rPr>
          <w:sz w:val="28"/>
          <w:szCs w:val="28"/>
        </w:rPr>
        <w:t xml:space="preserve">          </w:t>
      </w:r>
      <w:r w:rsidRPr="00385C26">
        <w:rPr>
          <w:sz w:val="28"/>
          <w:szCs w:val="28"/>
        </w:rPr>
        <w:t>VT 20</w:t>
      </w:r>
      <w:r w:rsidR="00B87EEF" w:rsidRPr="00385C26">
        <w:rPr>
          <w:sz w:val="28"/>
          <w:szCs w:val="28"/>
        </w:rPr>
        <w:t>21</w:t>
      </w:r>
    </w:p>
    <w:p w14:paraId="724E6BE0" w14:textId="06AE224C" w:rsidR="00E47DC9" w:rsidRDefault="00E47DC9" w:rsidP="00E47DC9">
      <w:pPr>
        <w:rPr>
          <w:sz w:val="28"/>
          <w:szCs w:val="28"/>
        </w:rPr>
      </w:pPr>
      <w:r w:rsidRPr="00385C26">
        <w:rPr>
          <w:sz w:val="28"/>
          <w:szCs w:val="28"/>
        </w:rPr>
        <w:t xml:space="preserve">Tematisk fördjupningskurs: </w:t>
      </w:r>
      <w:r w:rsidR="00B87EEF" w:rsidRPr="00385C26">
        <w:rPr>
          <w:sz w:val="28"/>
          <w:szCs w:val="28"/>
        </w:rPr>
        <w:t>Sagan i litteraturen</w:t>
      </w:r>
      <w:r w:rsidRPr="00385C26">
        <w:rPr>
          <w:sz w:val="28"/>
          <w:szCs w:val="28"/>
        </w:rPr>
        <w:t xml:space="preserve"> (7,5 hp)</w:t>
      </w:r>
    </w:p>
    <w:p w14:paraId="76F592FA" w14:textId="77777777" w:rsidR="00C909A9" w:rsidRDefault="00C909A9" w:rsidP="00C909A9">
      <w:pPr>
        <w:rPr>
          <w:b/>
          <w:bCs/>
          <w:noProof w:val="0"/>
        </w:rPr>
      </w:pPr>
      <w:r>
        <w:rPr>
          <w:rFonts w:ascii="Times New Roman" w:hAnsi="Times New Roman"/>
        </w:rPr>
        <w:t>Fastställd av Sektionsstyrelse 2, Språk- och litteraturcentrum 8.12.20</w:t>
      </w:r>
    </w:p>
    <w:p w14:paraId="61667B20" w14:textId="77777777" w:rsidR="00C909A9" w:rsidRPr="00385C26" w:rsidRDefault="00C909A9" w:rsidP="00E47DC9">
      <w:pPr>
        <w:rPr>
          <w:sz w:val="28"/>
          <w:szCs w:val="28"/>
        </w:rPr>
      </w:pPr>
      <w:bookmarkStart w:id="0" w:name="_GoBack"/>
      <w:bookmarkEnd w:id="0"/>
    </w:p>
    <w:p w14:paraId="5E4CEDB3" w14:textId="77777777" w:rsidR="00E47DC9" w:rsidRPr="00385C26" w:rsidRDefault="00E47DC9" w:rsidP="00E47DC9"/>
    <w:p w14:paraId="4847DF6B" w14:textId="01FF73AF" w:rsidR="00E47DC9" w:rsidRDefault="00E47DC9" w:rsidP="00E47DC9">
      <w:pPr>
        <w:rPr>
          <w:b/>
        </w:rPr>
      </w:pPr>
      <w:r w:rsidRPr="00385C26">
        <w:rPr>
          <w:b/>
        </w:rPr>
        <w:t>Primärlitteratur</w:t>
      </w:r>
    </w:p>
    <w:p w14:paraId="4005B45A" w14:textId="77777777" w:rsidR="00847816" w:rsidRPr="00385C26" w:rsidRDefault="00847816" w:rsidP="00E47DC9">
      <w:pPr>
        <w:rPr>
          <w:b/>
        </w:rPr>
      </w:pPr>
    </w:p>
    <w:p w14:paraId="0852DB39" w14:textId="77777777" w:rsidR="00EC1420" w:rsidRPr="00385C26" w:rsidRDefault="00EC1420" w:rsidP="0042568F">
      <w:pPr>
        <w:pStyle w:val="Body4"/>
      </w:pPr>
      <w:r w:rsidRPr="00385C26">
        <w:t xml:space="preserve">Andersen, H. C., ”Snödrottningen” (1845) i förf:s </w:t>
      </w:r>
      <w:r w:rsidRPr="00385C26">
        <w:rPr>
          <w:i/>
        </w:rPr>
        <w:t>Sagor och berättelser 1835–45</w:t>
      </w:r>
      <w:r w:rsidRPr="00385C26">
        <w:t>, övers. Bengt An</w:t>
      </w:r>
      <w:r w:rsidR="00EA01CF" w:rsidRPr="00385C26">
        <w:t>derberg, Stockholm 1982, s. 291–334</w:t>
      </w:r>
    </w:p>
    <w:p w14:paraId="6DB0DAE4" w14:textId="77777777" w:rsidR="000818FC" w:rsidRPr="00385C26" w:rsidRDefault="000818FC" w:rsidP="0042568F">
      <w:pPr>
        <w:pStyle w:val="Body4"/>
      </w:pPr>
      <w:r w:rsidRPr="00385C26">
        <w:t xml:space="preserve">Biller, Malin, </w:t>
      </w:r>
      <w:r w:rsidR="006C4163" w:rsidRPr="00385C26">
        <w:rPr>
          <w:i/>
        </w:rPr>
        <w:t>Om någon vrålar i skogen</w:t>
      </w:r>
      <w:r w:rsidR="006C4163" w:rsidRPr="00385C26">
        <w:t>, Göteborg 2010 (200</w:t>
      </w:r>
      <w:r w:rsidR="00A8018B" w:rsidRPr="00385C26">
        <w:t xml:space="preserve"> </w:t>
      </w:r>
      <w:r w:rsidR="006C4163" w:rsidRPr="00385C26">
        <w:t>s.)</w:t>
      </w:r>
    </w:p>
    <w:p w14:paraId="34CA5E15" w14:textId="7FE4B69C" w:rsidR="00FA252B" w:rsidRPr="00C909A9" w:rsidRDefault="00FA252B" w:rsidP="0042568F">
      <w:pPr>
        <w:pStyle w:val="Body4"/>
        <w:rPr>
          <w:lang w:val="en-US"/>
        </w:rPr>
      </w:pPr>
      <w:r w:rsidRPr="00C909A9">
        <w:rPr>
          <w:lang w:val="en-US"/>
        </w:rPr>
        <w:t xml:space="preserve">Brennan, Karen, ”The Snow Queen”, </w:t>
      </w:r>
      <w:r w:rsidRPr="00C909A9">
        <w:rPr>
          <w:i/>
          <w:lang w:val="en-US"/>
        </w:rPr>
        <w:t>My Mother She Killed Me, My Father He Ate Me. Forty New Fairy Tales</w:t>
      </w:r>
      <w:r w:rsidRPr="00C909A9">
        <w:rPr>
          <w:lang w:val="en-US"/>
        </w:rPr>
        <w:t>, red. Kate Bernheimer, London 2010, s. 221–235 (</w:t>
      </w:r>
      <w:r w:rsidR="0042568F" w:rsidRPr="00C909A9">
        <w:rPr>
          <w:lang w:val="en-US"/>
        </w:rPr>
        <w:t>Canvas</w:t>
      </w:r>
      <w:r w:rsidRPr="00C909A9">
        <w:rPr>
          <w:lang w:val="en-US"/>
        </w:rPr>
        <w:t>)</w:t>
      </w:r>
    </w:p>
    <w:p w14:paraId="52880BD7" w14:textId="7EF55EF6" w:rsidR="004E7A21" w:rsidRPr="00C909A9" w:rsidRDefault="004E7A21" w:rsidP="0042568F">
      <w:pPr>
        <w:pStyle w:val="Body4"/>
        <w:rPr>
          <w:lang w:val="en-US"/>
        </w:rPr>
      </w:pPr>
      <w:r w:rsidRPr="00C909A9">
        <w:rPr>
          <w:lang w:val="en-US"/>
        </w:rPr>
        <w:t xml:space="preserve">Carter, Angela, ”The Company of Wolves” i förf:s </w:t>
      </w:r>
      <w:r w:rsidRPr="00C909A9">
        <w:rPr>
          <w:i/>
          <w:lang w:val="en-US"/>
        </w:rPr>
        <w:t>The Bloody Chamber</w:t>
      </w:r>
      <w:r w:rsidRPr="00C909A9">
        <w:rPr>
          <w:lang w:val="en-US"/>
        </w:rPr>
        <w:t>, London 1979, s. 141–152</w:t>
      </w:r>
      <w:r w:rsidR="000C65FE" w:rsidRPr="00C909A9">
        <w:rPr>
          <w:lang w:val="en-US"/>
        </w:rPr>
        <w:t xml:space="preserve"> (</w:t>
      </w:r>
      <w:r w:rsidR="0042568F" w:rsidRPr="00C909A9">
        <w:rPr>
          <w:lang w:val="en-US"/>
        </w:rPr>
        <w:t>Canvas</w:t>
      </w:r>
      <w:r w:rsidR="000C65FE" w:rsidRPr="00C909A9">
        <w:rPr>
          <w:lang w:val="en-US"/>
        </w:rPr>
        <w:t>)</w:t>
      </w:r>
    </w:p>
    <w:p w14:paraId="483B2A7F" w14:textId="5BAD37AE" w:rsidR="0014196A" w:rsidRPr="00385C26" w:rsidRDefault="0014196A" w:rsidP="0042568F">
      <w:pPr>
        <w:pStyle w:val="Body4"/>
      </w:pPr>
      <w:r w:rsidRPr="00385C26">
        <w:t xml:space="preserve">”Den styckade kvinnan, de tre äpplena och negern Rihan” ur </w:t>
      </w:r>
      <w:r w:rsidRPr="00385C26">
        <w:rPr>
          <w:i/>
        </w:rPr>
        <w:t>Tusen och en natt</w:t>
      </w:r>
      <w:r w:rsidR="00414F36" w:rsidRPr="00385C26">
        <w:t xml:space="preserve"> VI,</w:t>
      </w:r>
      <w:r w:rsidRPr="00385C26">
        <w:t xml:space="preserve"> </w:t>
      </w:r>
      <w:r w:rsidR="00414F36" w:rsidRPr="00385C26">
        <w:t xml:space="preserve">urval &amp; </w:t>
      </w:r>
      <w:r w:rsidRPr="00385C26">
        <w:t>övers. Nils Holmberg, S</w:t>
      </w:r>
      <w:r w:rsidR="00414F36" w:rsidRPr="00385C26">
        <w:t>tockholm 1963, s. 138–144</w:t>
      </w:r>
      <w:r w:rsidRPr="00385C26">
        <w:t xml:space="preserve"> (</w:t>
      </w:r>
      <w:r w:rsidR="0042568F" w:rsidRPr="00385C26">
        <w:t>Canvas</w:t>
      </w:r>
      <w:r w:rsidRPr="00385C26">
        <w:t>)</w:t>
      </w:r>
    </w:p>
    <w:p w14:paraId="20DA197D" w14:textId="50E20EC1" w:rsidR="00455514" w:rsidRPr="00385C26" w:rsidRDefault="00455514" w:rsidP="0042568F">
      <w:pPr>
        <w:pStyle w:val="Body4"/>
      </w:pPr>
      <w:r w:rsidRPr="00385C26">
        <w:t>Grimm, Jakob &amp; Wilhelm, ”De utdansade skorna” (1815)</w:t>
      </w:r>
      <w:r w:rsidR="00C75276" w:rsidRPr="00385C26">
        <w:t xml:space="preserve"> </w:t>
      </w:r>
      <w:r w:rsidR="001C1D67" w:rsidRPr="00385C26">
        <w:t xml:space="preserve">i </w:t>
      </w:r>
      <w:r w:rsidR="00C75276" w:rsidRPr="00385C26">
        <w:rPr>
          <w:rStyle w:val="Underrubrik1"/>
        </w:rPr>
        <w:t>förf:s</w:t>
      </w:r>
      <w:r w:rsidR="00C75276" w:rsidRPr="00385C26">
        <w:rPr>
          <w:i/>
        </w:rPr>
        <w:t xml:space="preserve"> </w:t>
      </w:r>
      <w:r w:rsidR="001C1D67" w:rsidRPr="00385C26">
        <w:rPr>
          <w:i/>
        </w:rPr>
        <w:t>Sagor</w:t>
      </w:r>
      <w:r w:rsidR="001C1D67" w:rsidRPr="00385C26">
        <w:t xml:space="preserve"> 2,</w:t>
      </w:r>
      <w:r w:rsidR="001C1D67" w:rsidRPr="00385C26">
        <w:rPr>
          <w:rStyle w:val="Underrubrik1"/>
        </w:rPr>
        <w:t xml:space="preserve"> </w:t>
      </w:r>
      <w:r w:rsidR="00C75276" w:rsidRPr="00385C26">
        <w:t>övers. Ernst Lund</w:t>
      </w:r>
      <w:r w:rsidR="00FA729F" w:rsidRPr="00385C26">
        <w:t>-</w:t>
      </w:r>
      <w:r w:rsidR="00C75276" w:rsidRPr="00385C26">
        <w:t>quist,</w:t>
      </w:r>
      <w:r w:rsidR="00C75276" w:rsidRPr="00385C26">
        <w:rPr>
          <w:rStyle w:val="Underrubrik1"/>
        </w:rPr>
        <w:t xml:space="preserve"> </w:t>
      </w:r>
      <w:r w:rsidR="00C75276" w:rsidRPr="00385C26">
        <w:t>Stockholm</w:t>
      </w:r>
      <w:r w:rsidR="00C75276" w:rsidRPr="00385C26">
        <w:rPr>
          <w:rStyle w:val="Underrubrik1"/>
        </w:rPr>
        <w:t xml:space="preserve"> </w:t>
      </w:r>
      <w:r w:rsidR="001C1D67" w:rsidRPr="00385C26">
        <w:rPr>
          <w:rStyle w:val="Underrubrik1"/>
        </w:rPr>
        <w:t xml:space="preserve">1981, </w:t>
      </w:r>
      <w:r w:rsidR="00AA12A3" w:rsidRPr="00385C26">
        <w:t>s. 179–183</w:t>
      </w:r>
      <w:r w:rsidR="001C1D67" w:rsidRPr="00385C26">
        <w:t xml:space="preserve"> (</w:t>
      </w:r>
      <w:r w:rsidR="0042568F" w:rsidRPr="00385C26">
        <w:t>Canvas</w:t>
      </w:r>
      <w:r w:rsidR="001C1D67" w:rsidRPr="00385C26">
        <w:t>)</w:t>
      </w:r>
    </w:p>
    <w:p w14:paraId="77DD6318" w14:textId="06745A0A" w:rsidR="0003123A" w:rsidRPr="00385C26" w:rsidRDefault="0003123A" w:rsidP="0042568F">
      <w:pPr>
        <w:pStyle w:val="Body4"/>
      </w:pPr>
      <w:r w:rsidRPr="00385C26">
        <w:t xml:space="preserve">Lagerkvist, Pär, ”Kärleken och döden” i förf:s </w:t>
      </w:r>
      <w:r w:rsidRPr="00385C26">
        <w:rPr>
          <w:i/>
        </w:rPr>
        <w:t>Onda sagor</w:t>
      </w:r>
      <w:r w:rsidR="00C00A81" w:rsidRPr="00385C26">
        <w:t>, Stockholm 1924, s. 87</w:t>
      </w:r>
      <w:r w:rsidR="004E7A21" w:rsidRPr="00385C26">
        <w:t>f</w:t>
      </w:r>
      <w:r w:rsidRPr="00385C26">
        <w:t xml:space="preserve"> (</w:t>
      </w:r>
      <w:r w:rsidR="0042568F" w:rsidRPr="00385C26">
        <w:t>Canvas</w:t>
      </w:r>
      <w:r w:rsidRPr="00385C26">
        <w:t>)</w:t>
      </w:r>
    </w:p>
    <w:p w14:paraId="032F7C25" w14:textId="26988BDE" w:rsidR="0034229C" w:rsidRPr="00385C26" w:rsidRDefault="0034229C" w:rsidP="0042568F">
      <w:pPr>
        <w:pStyle w:val="Body4"/>
      </w:pPr>
      <w:r w:rsidRPr="00385C26">
        <w:t>Lagerlöf, Selma, ”</w:t>
      </w:r>
      <w:r w:rsidR="006136C5" w:rsidRPr="00385C26">
        <w:t>En bortbyting. Saga</w:t>
      </w:r>
      <w:r w:rsidRPr="00385C26">
        <w:t>”</w:t>
      </w:r>
      <w:r w:rsidR="00DD7D6C" w:rsidRPr="00385C26">
        <w:t xml:space="preserve">, </w:t>
      </w:r>
      <w:r w:rsidR="00DD7D6C" w:rsidRPr="00385C26">
        <w:rPr>
          <w:i/>
        </w:rPr>
        <w:t>Idun</w:t>
      </w:r>
      <w:r w:rsidR="00DD7D6C" w:rsidRPr="00385C26">
        <w:t xml:space="preserve"> 1908</w:t>
      </w:r>
      <w:r w:rsidR="006136C5" w:rsidRPr="00385C26">
        <w:t xml:space="preserve">:51, </w:t>
      </w:r>
      <w:r w:rsidR="007E7F11" w:rsidRPr="00385C26">
        <w:t>5 s. (</w:t>
      </w:r>
      <w:r w:rsidR="0042568F" w:rsidRPr="00385C26">
        <w:t>Canvas</w:t>
      </w:r>
      <w:r w:rsidR="007E7F11" w:rsidRPr="00385C26">
        <w:t>)</w:t>
      </w:r>
    </w:p>
    <w:p w14:paraId="4FBA449F" w14:textId="77777777" w:rsidR="00D61547" w:rsidRPr="00385C26" w:rsidRDefault="00D61547" w:rsidP="0042568F">
      <w:pPr>
        <w:pStyle w:val="Body4"/>
      </w:pPr>
      <w:r w:rsidRPr="00385C26">
        <w:t xml:space="preserve">Lagerlöf, Selma &amp; </w:t>
      </w:r>
      <w:r w:rsidRPr="00385C26">
        <w:rPr>
          <w:bCs/>
        </w:rPr>
        <w:t>Emelie Östergren</w:t>
      </w:r>
      <w:r w:rsidRPr="00385C26">
        <w:t xml:space="preserve">, </w:t>
      </w:r>
      <w:r w:rsidRPr="00385C26">
        <w:rPr>
          <w:i/>
        </w:rPr>
        <w:t>Bortbytingen. En serieroman</w:t>
      </w:r>
      <w:r w:rsidR="007E7F11" w:rsidRPr="00385C26">
        <w:t>, Stockholm 2014 (113</w:t>
      </w:r>
      <w:r w:rsidRPr="00385C26">
        <w:t xml:space="preserve"> s.)</w:t>
      </w:r>
    </w:p>
    <w:p w14:paraId="45A33693" w14:textId="6F99D10D" w:rsidR="005A4D85" w:rsidRPr="00385C26" w:rsidRDefault="005A4D85" w:rsidP="0042568F">
      <w:pPr>
        <w:pStyle w:val="Body4"/>
      </w:pPr>
      <w:r w:rsidRPr="00385C26">
        <w:t xml:space="preserve">Nyberg, Julia, ”Den sköna Cunigunda. Saga” i förf:s </w:t>
      </w:r>
      <w:r w:rsidR="007D4C18" w:rsidRPr="00385C26">
        <w:rPr>
          <w:i/>
        </w:rPr>
        <w:t>Nyare</w:t>
      </w:r>
      <w:r w:rsidRPr="00385C26">
        <w:rPr>
          <w:i/>
        </w:rPr>
        <w:t xml:space="preserve"> dikter</w:t>
      </w:r>
      <w:r w:rsidR="007D4C18" w:rsidRPr="00385C26">
        <w:t>, Stockholm 1828</w:t>
      </w:r>
      <w:r w:rsidR="00BD0696" w:rsidRPr="00385C26">
        <w:t>, s. 265–292</w:t>
      </w:r>
      <w:r w:rsidRPr="00385C26">
        <w:t xml:space="preserve"> </w:t>
      </w:r>
      <w:r w:rsidR="00E726A9" w:rsidRPr="00385C26">
        <w:t>(</w:t>
      </w:r>
      <w:r w:rsidR="0042568F" w:rsidRPr="00385C26">
        <w:t>Canvas</w:t>
      </w:r>
      <w:r w:rsidR="00E726A9" w:rsidRPr="00385C26">
        <w:t>)</w:t>
      </w:r>
    </w:p>
    <w:p w14:paraId="21717175" w14:textId="45741AA8" w:rsidR="00832243" w:rsidRPr="00385C26" w:rsidRDefault="00DF427A" w:rsidP="0042568F">
      <w:pPr>
        <w:pStyle w:val="Body4"/>
      </w:pPr>
      <w:r w:rsidRPr="00385C26">
        <w:t xml:space="preserve">Perrault, Charles, </w:t>
      </w:r>
      <w:r w:rsidR="004E7A21" w:rsidRPr="00385C26">
        <w:t>”Lilla Rödhättan” &amp;</w:t>
      </w:r>
      <w:r w:rsidRPr="00385C26">
        <w:t xml:space="preserve">”Mästerkatten eller Katten i stövlarna” (1697) i förf:s </w:t>
      </w:r>
      <w:r w:rsidRPr="00385C26">
        <w:rPr>
          <w:i/>
        </w:rPr>
        <w:t>Gåsmors sagor</w:t>
      </w:r>
      <w:r w:rsidRPr="00385C26">
        <w:t>, övers. Hjalma</w:t>
      </w:r>
      <w:r w:rsidR="00E12CF7" w:rsidRPr="00385C26">
        <w:t xml:space="preserve">r Gullberg, Stockholm 1955, s. </w:t>
      </w:r>
      <w:r w:rsidR="004E7A21" w:rsidRPr="00385C26">
        <w:t xml:space="preserve">43–46, </w:t>
      </w:r>
      <w:r w:rsidR="00E12CF7" w:rsidRPr="00385C26">
        <w:t>61–69</w:t>
      </w:r>
      <w:r w:rsidRPr="00385C26">
        <w:t xml:space="preserve"> </w:t>
      </w:r>
      <w:r w:rsidR="007D4C18" w:rsidRPr="00385C26">
        <w:t>(</w:t>
      </w:r>
      <w:r w:rsidR="0042568F" w:rsidRPr="00385C26">
        <w:t>Canvas</w:t>
      </w:r>
      <w:r w:rsidR="007D4C18" w:rsidRPr="00385C26">
        <w:t>)</w:t>
      </w:r>
    </w:p>
    <w:p w14:paraId="181A56FE" w14:textId="76B4A9FA" w:rsidR="00E47DC9" w:rsidRDefault="00E47DC9" w:rsidP="0042568F">
      <w:pPr>
        <w:pStyle w:val="Body4"/>
      </w:pPr>
      <w:r w:rsidRPr="00385C26">
        <w:t xml:space="preserve">Strindberg, August, ”Fotografi och filosofi” i förf:s </w:t>
      </w:r>
      <w:r w:rsidRPr="00385C26">
        <w:rPr>
          <w:i/>
        </w:rPr>
        <w:t>Sagor</w:t>
      </w:r>
      <w:r w:rsidR="007E7F11" w:rsidRPr="00385C26">
        <w:t>, Stockholm 1903, s. 75–80</w:t>
      </w:r>
      <w:r w:rsidRPr="00385C26">
        <w:t xml:space="preserve"> (</w:t>
      </w:r>
      <w:r w:rsidR="0042568F" w:rsidRPr="00385C26">
        <w:t>Canvas</w:t>
      </w:r>
      <w:r w:rsidRPr="00385C26">
        <w:t>)</w:t>
      </w:r>
    </w:p>
    <w:p w14:paraId="0BE9D2F6" w14:textId="65762F3F" w:rsidR="00847816" w:rsidRPr="00385C26" w:rsidRDefault="00847816" w:rsidP="0042568F">
      <w:pPr>
        <w:pStyle w:val="Body4"/>
      </w:pPr>
      <w:r>
        <w:t xml:space="preserve">”Synd och nåd”, </w:t>
      </w:r>
      <w:r w:rsidRPr="00847816">
        <w:rPr>
          <w:i/>
          <w:iCs/>
        </w:rPr>
        <w:t>Finlands svenska folkdiktning. I. A. Sagor, referatsamling</w:t>
      </w:r>
      <w:r>
        <w:t xml:space="preserve">, utg. Oskar Hackman, Helsingfors 1917, s. 416–418 </w:t>
      </w:r>
      <w:r w:rsidRPr="00385C26">
        <w:t>(Canvas)</w:t>
      </w:r>
    </w:p>
    <w:p w14:paraId="45881EAC" w14:textId="37D9CE4C" w:rsidR="00832243" w:rsidRPr="00385C26" w:rsidRDefault="00832243" w:rsidP="0042568F">
      <w:pPr>
        <w:pStyle w:val="Body4"/>
      </w:pPr>
      <w:r w:rsidRPr="00385C26">
        <w:t xml:space="preserve">Tieck, Ludwig, </w:t>
      </w:r>
      <w:r w:rsidRPr="00385C26">
        <w:rPr>
          <w:i/>
        </w:rPr>
        <w:t>Mästerkatten eller Katten i stöflor</w:t>
      </w:r>
      <w:r w:rsidRPr="00385C26">
        <w:t xml:space="preserve"> (1797)</w:t>
      </w:r>
      <w:r w:rsidR="00292340" w:rsidRPr="00385C26">
        <w:t>,</w:t>
      </w:r>
      <w:r w:rsidRPr="00385C26">
        <w:t xml:space="preserve"> övers. Clas Livijn</w:t>
      </w:r>
      <w:r w:rsidR="00292340" w:rsidRPr="00385C26">
        <w:t>, Stockholm 1812</w:t>
      </w:r>
      <w:r w:rsidR="0048598A" w:rsidRPr="00385C26">
        <w:t>, 94 s.</w:t>
      </w:r>
      <w:r w:rsidR="00292340" w:rsidRPr="00385C26">
        <w:t xml:space="preserve"> </w:t>
      </w:r>
      <w:r w:rsidR="00762C08" w:rsidRPr="00385C26">
        <w:t>(</w:t>
      </w:r>
      <w:r w:rsidR="0042568F" w:rsidRPr="00385C26">
        <w:t>Canvas</w:t>
      </w:r>
      <w:r w:rsidR="00762C08" w:rsidRPr="00385C26">
        <w:t xml:space="preserve">) </w:t>
      </w:r>
      <w:r w:rsidR="00292340" w:rsidRPr="00385C26">
        <w:t xml:space="preserve">(äv. </w:t>
      </w:r>
      <w:r w:rsidRPr="00385C26">
        <w:t xml:space="preserve">omtr. </w:t>
      </w:r>
      <w:r w:rsidR="00292340" w:rsidRPr="00385C26">
        <w:t xml:space="preserve">Lund </w:t>
      </w:r>
      <w:r w:rsidRPr="00385C26">
        <w:t>1999</w:t>
      </w:r>
      <w:r w:rsidR="00B12360" w:rsidRPr="00385C26">
        <w:t>, 103</w:t>
      </w:r>
      <w:r w:rsidR="0048598A" w:rsidRPr="00385C26">
        <w:t xml:space="preserve"> s.</w:t>
      </w:r>
      <w:r w:rsidRPr="00385C26">
        <w:t>)</w:t>
      </w:r>
    </w:p>
    <w:p w14:paraId="120D8281" w14:textId="77777777" w:rsidR="00A40FF9" w:rsidRPr="00C909A9" w:rsidRDefault="00A40FF9" w:rsidP="0042568F">
      <w:pPr>
        <w:pStyle w:val="Body4"/>
        <w:rPr>
          <w:lang w:val="en-US"/>
        </w:rPr>
      </w:pPr>
      <w:r w:rsidRPr="00385C26">
        <w:t xml:space="preserve">Trotzig, Birgitta, ”Ormflickan” i förf:s </w:t>
      </w:r>
      <w:r w:rsidRPr="00385C26">
        <w:rPr>
          <w:i/>
        </w:rPr>
        <w:t xml:space="preserve">I kejsarens tid. </w:t>
      </w:r>
      <w:r w:rsidRPr="00C909A9">
        <w:rPr>
          <w:i/>
          <w:lang w:val="en-US"/>
        </w:rPr>
        <w:t>Sagor</w:t>
      </w:r>
      <w:r w:rsidRPr="00C909A9">
        <w:rPr>
          <w:lang w:val="en-US"/>
        </w:rPr>
        <w:t>, Stockholm 1975, s. 53–88</w:t>
      </w:r>
    </w:p>
    <w:p w14:paraId="2B54566C" w14:textId="61773BD1" w:rsidR="000879C5" w:rsidRPr="00C909A9" w:rsidRDefault="000879C5" w:rsidP="0042568F">
      <w:pPr>
        <w:pStyle w:val="Body4"/>
        <w:rPr>
          <w:lang w:val="en-US"/>
        </w:rPr>
      </w:pPr>
      <w:r w:rsidRPr="00C909A9">
        <w:rPr>
          <w:lang w:val="en-US"/>
        </w:rPr>
        <w:t xml:space="preserve">Wilde, Oscar, ”The Happy Prince” i förf:s </w:t>
      </w:r>
      <w:r w:rsidRPr="00C909A9">
        <w:rPr>
          <w:i/>
          <w:lang w:val="en-US"/>
        </w:rPr>
        <w:t>The Happy Prince and Other Tales</w:t>
      </w:r>
      <w:r w:rsidRPr="00C909A9">
        <w:rPr>
          <w:lang w:val="en-US"/>
        </w:rPr>
        <w:t>, London 1888</w:t>
      </w:r>
      <w:r w:rsidR="000C0C3F" w:rsidRPr="00C909A9">
        <w:rPr>
          <w:lang w:val="en-US"/>
        </w:rPr>
        <w:t>, s. 3–24</w:t>
      </w:r>
      <w:r w:rsidRPr="00C909A9">
        <w:rPr>
          <w:lang w:val="en-US"/>
        </w:rPr>
        <w:t xml:space="preserve"> &amp; ”The Star-Child” i förf:s </w:t>
      </w:r>
      <w:r w:rsidRPr="00C909A9">
        <w:rPr>
          <w:i/>
          <w:lang w:val="en-US"/>
        </w:rPr>
        <w:t>A House of Pomegranates</w:t>
      </w:r>
      <w:r w:rsidRPr="00C909A9">
        <w:rPr>
          <w:lang w:val="en-US"/>
        </w:rPr>
        <w:t>, London 1891</w:t>
      </w:r>
      <w:r w:rsidR="000C0C3F" w:rsidRPr="00C909A9">
        <w:rPr>
          <w:lang w:val="en-US"/>
        </w:rPr>
        <w:t>, s. 147–179</w:t>
      </w:r>
      <w:r w:rsidRPr="00C909A9">
        <w:rPr>
          <w:lang w:val="en-US"/>
        </w:rPr>
        <w:t xml:space="preserve"> </w:t>
      </w:r>
      <w:r w:rsidR="00E12CF7" w:rsidRPr="00C909A9">
        <w:rPr>
          <w:lang w:val="en-US"/>
        </w:rPr>
        <w:t>(</w:t>
      </w:r>
      <w:r w:rsidR="0042568F" w:rsidRPr="00C909A9">
        <w:rPr>
          <w:lang w:val="en-US"/>
        </w:rPr>
        <w:t>Canvas</w:t>
      </w:r>
      <w:r w:rsidR="0003123A" w:rsidRPr="00C909A9">
        <w:rPr>
          <w:lang w:val="en-US"/>
        </w:rPr>
        <w:t>: uppl. 1909</w:t>
      </w:r>
      <w:r w:rsidR="00E12CF7" w:rsidRPr="00C909A9">
        <w:rPr>
          <w:lang w:val="en-US"/>
        </w:rPr>
        <w:t>)</w:t>
      </w:r>
    </w:p>
    <w:p w14:paraId="5D84329E" w14:textId="7877C776" w:rsidR="004E7A21" w:rsidRPr="00C909A9" w:rsidRDefault="00455514" w:rsidP="0042568F">
      <w:pPr>
        <w:pStyle w:val="Body4"/>
        <w:rPr>
          <w:lang w:val="en-US"/>
        </w:rPr>
      </w:pPr>
      <w:r w:rsidRPr="00C909A9">
        <w:rPr>
          <w:lang w:val="en-US"/>
        </w:rPr>
        <w:t xml:space="preserve">Winterson, Jeanette, </w:t>
      </w:r>
      <w:r w:rsidRPr="00C909A9">
        <w:rPr>
          <w:i/>
          <w:lang w:val="en-US"/>
        </w:rPr>
        <w:t>Sexing the Cherry</w:t>
      </w:r>
      <w:r w:rsidRPr="00C909A9">
        <w:rPr>
          <w:lang w:val="en-US"/>
        </w:rPr>
        <w:t>, Lond</w:t>
      </w:r>
      <w:r w:rsidR="000C65FE" w:rsidRPr="00C909A9">
        <w:rPr>
          <w:lang w:val="en-US"/>
        </w:rPr>
        <w:t>on 1989, 167 s.</w:t>
      </w:r>
    </w:p>
    <w:p w14:paraId="3396B8E2" w14:textId="4A6A17CE" w:rsidR="000C0C3F" w:rsidRPr="00C909A9" w:rsidRDefault="000C0C3F" w:rsidP="004E7A21">
      <w:pPr>
        <w:pStyle w:val="Body4"/>
        <w:rPr>
          <w:rFonts w:ascii="Times New Roman" w:hAnsi="Times New Roman"/>
          <w:b/>
          <w:lang w:val="en-US"/>
        </w:rPr>
      </w:pPr>
      <w:r w:rsidRPr="00C909A9">
        <w:rPr>
          <w:rFonts w:ascii="Times New Roman" w:hAnsi="Times New Roman"/>
          <w:lang w:val="en-US"/>
        </w:rPr>
        <w:tab/>
      </w:r>
      <w:r w:rsidRPr="00C909A9">
        <w:rPr>
          <w:rFonts w:ascii="Times New Roman" w:hAnsi="Times New Roman"/>
          <w:lang w:val="en-US"/>
        </w:rPr>
        <w:tab/>
      </w:r>
      <w:r w:rsidRPr="00C909A9">
        <w:rPr>
          <w:rFonts w:ascii="Times New Roman" w:hAnsi="Times New Roman"/>
          <w:lang w:val="en-US"/>
        </w:rPr>
        <w:tab/>
      </w:r>
      <w:r w:rsidRPr="00C909A9">
        <w:rPr>
          <w:rFonts w:ascii="Times New Roman" w:hAnsi="Times New Roman"/>
          <w:lang w:val="en-US"/>
        </w:rPr>
        <w:tab/>
      </w:r>
      <w:r w:rsidRPr="00C909A9">
        <w:rPr>
          <w:rFonts w:ascii="Times New Roman" w:hAnsi="Times New Roman"/>
          <w:lang w:val="en-US"/>
        </w:rPr>
        <w:tab/>
      </w:r>
      <w:r w:rsidRPr="00C909A9">
        <w:rPr>
          <w:rFonts w:ascii="Times New Roman" w:hAnsi="Times New Roman"/>
          <w:lang w:val="en-US"/>
        </w:rPr>
        <w:tab/>
      </w:r>
      <w:r w:rsidRPr="00C909A9">
        <w:rPr>
          <w:rFonts w:ascii="Times New Roman" w:hAnsi="Times New Roman"/>
          <w:lang w:val="en-US"/>
        </w:rPr>
        <w:tab/>
      </w:r>
      <w:r w:rsidRPr="00C909A9">
        <w:rPr>
          <w:rFonts w:ascii="Times New Roman" w:hAnsi="Times New Roman"/>
          <w:b/>
          <w:lang w:val="en-US"/>
        </w:rPr>
        <w:t xml:space="preserve">ca </w:t>
      </w:r>
      <w:r w:rsidR="0042568F" w:rsidRPr="00C909A9">
        <w:rPr>
          <w:rFonts w:ascii="Times New Roman" w:hAnsi="Times New Roman"/>
          <w:b/>
          <w:lang w:val="en-US"/>
        </w:rPr>
        <w:t>80</w:t>
      </w:r>
      <w:r w:rsidRPr="00C909A9">
        <w:rPr>
          <w:rFonts w:ascii="Times New Roman" w:hAnsi="Times New Roman"/>
          <w:b/>
          <w:lang w:val="en-US"/>
        </w:rPr>
        <w:t>0 s.</w:t>
      </w:r>
    </w:p>
    <w:p w14:paraId="383F75A4" w14:textId="35E4A7E1" w:rsidR="00411FE2" w:rsidRPr="00C909A9" w:rsidRDefault="00411FE2" w:rsidP="00471298">
      <w:pPr>
        <w:rPr>
          <w:b/>
          <w:lang w:val="en-US"/>
        </w:rPr>
      </w:pPr>
    </w:p>
    <w:p w14:paraId="200942A6" w14:textId="1E4EA0F7" w:rsidR="00847816" w:rsidRPr="00C909A9" w:rsidRDefault="00847816" w:rsidP="00471298">
      <w:pPr>
        <w:rPr>
          <w:b/>
          <w:lang w:val="en-US"/>
        </w:rPr>
      </w:pPr>
    </w:p>
    <w:p w14:paraId="4981E238" w14:textId="16D06AEB" w:rsidR="00847816" w:rsidRPr="00C909A9" w:rsidRDefault="00847816" w:rsidP="00471298">
      <w:pPr>
        <w:rPr>
          <w:b/>
          <w:lang w:val="en-US"/>
        </w:rPr>
      </w:pPr>
    </w:p>
    <w:p w14:paraId="54A2746A" w14:textId="77777777" w:rsidR="00847816" w:rsidRPr="00C909A9" w:rsidRDefault="00847816" w:rsidP="00471298">
      <w:pPr>
        <w:rPr>
          <w:b/>
          <w:lang w:val="en-US"/>
        </w:rPr>
      </w:pPr>
    </w:p>
    <w:p w14:paraId="7590EF9D" w14:textId="7758E570" w:rsidR="00E47DC9" w:rsidRPr="00C909A9" w:rsidRDefault="00E47DC9" w:rsidP="00471298">
      <w:pPr>
        <w:rPr>
          <w:b/>
          <w:lang w:val="en-US"/>
        </w:rPr>
      </w:pPr>
      <w:r w:rsidRPr="00C909A9">
        <w:rPr>
          <w:b/>
          <w:lang w:val="en-US"/>
        </w:rPr>
        <w:t>Sekundärlitteratur</w:t>
      </w:r>
    </w:p>
    <w:p w14:paraId="2866FF36" w14:textId="77777777" w:rsidR="00847816" w:rsidRPr="00C909A9" w:rsidRDefault="00847816" w:rsidP="00471298">
      <w:pPr>
        <w:rPr>
          <w:rFonts w:ascii="Times New Roman" w:hAnsi="Times New Roman"/>
          <w:b/>
          <w:lang w:val="en-US"/>
        </w:rPr>
      </w:pPr>
    </w:p>
    <w:p w14:paraId="01E05C4A" w14:textId="15D8BB9D" w:rsidR="0048598A" w:rsidRPr="00C909A9" w:rsidRDefault="0048598A" w:rsidP="0042568F">
      <w:pPr>
        <w:pStyle w:val="Body4"/>
        <w:rPr>
          <w:lang w:val="en-US"/>
        </w:rPr>
      </w:pPr>
      <w:r w:rsidRPr="00C909A9">
        <w:rPr>
          <w:lang w:val="en-US"/>
        </w:rPr>
        <w:t xml:space="preserve">Allen, Roger, ”An Analysis of the ’Tale of the Three Apples’ from </w:t>
      </w:r>
      <w:r w:rsidRPr="00C909A9">
        <w:rPr>
          <w:i/>
          <w:lang w:val="en-US"/>
        </w:rPr>
        <w:t>The Thousand and One Nights</w:t>
      </w:r>
      <w:r w:rsidRPr="00C909A9">
        <w:rPr>
          <w:lang w:val="en-US"/>
        </w:rPr>
        <w:t xml:space="preserve">”, </w:t>
      </w:r>
      <w:r w:rsidRPr="00C909A9">
        <w:rPr>
          <w:i/>
          <w:lang w:val="en-US"/>
        </w:rPr>
        <w:t>The Arabian Nights Reader</w:t>
      </w:r>
      <w:r w:rsidR="00296368" w:rsidRPr="00C909A9">
        <w:rPr>
          <w:lang w:val="en-US"/>
        </w:rPr>
        <w:t>, red. Ulrich Marzolph, Detroit 2006</w:t>
      </w:r>
      <w:r w:rsidRPr="00C909A9">
        <w:rPr>
          <w:lang w:val="en-US"/>
        </w:rPr>
        <w:t>, s. 239–248 (</w:t>
      </w:r>
      <w:r w:rsidR="00B87EEF" w:rsidRPr="00C909A9">
        <w:rPr>
          <w:lang w:val="en-US"/>
        </w:rPr>
        <w:t>Canvas</w:t>
      </w:r>
      <w:r w:rsidRPr="00C909A9">
        <w:rPr>
          <w:lang w:val="en-US"/>
        </w:rPr>
        <w:t>)</w:t>
      </w:r>
    </w:p>
    <w:p w14:paraId="58B68879" w14:textId="1E37F51C" w:rsidR="00B87EEF" w:rsidRPr="00C909A9" w:rsidRDefault="00B87EEF" w:rsidP="0042568F">
      <w:pPr>
        <w:pStyle w:val="Body4"/>
        <w:rPr>
          <w:lang w:val="en-US"/>
        </w:rPr>
      </w:pPr>
      <w:r w:rsidRPr="00C909A9">
        <w:rPr>
          <w:lang w:val="en-US"/>
        </w:rPr>
        <w:t xml:space="preserve">Andrievskikh, Natalia, ”The Taste of Fairy Tale: Consumption as Theme and Textual Strategy in </w:t>
      </w:r>
      <w:r w:rsidRPr="00C909A9">
        <w:rPr>
          <w:i/>
          <w:iCs/>
          <w:lang w:val="en-US"/>
        </w:rPr>
        <w:t>Sexing the Cherry</w:t>
      </w:r>
      <w:r w:rsidRPr="00C909A9">
        <w:rPr>
          <w:lang w:val="en-US"/>
        </w:rPr>
        <w:t xml:space="preserve"> by Jeanette Winterson”, </w:t>
      </w:r>
      <w:r w:rsidRPr="00C909A9">
        <w:rPr>
          <w:i/>
          <w:iCs/>
          <w:lang w:val="en-US"/>
        </w:rPr>
        <w:t>Pacific Coast Philology</w:t>
      </w:r>
      <w:r w:rsidRPr="00C909A9">
        <w:rPr>
          <w:lang w:val="en-US"/>
        </w:rPr>
        <w:t xml:space="preserve"> 50:1, 2015, s. 5–24 (LUBsearch)</w:t>
      </w:r>
    </w:p>
    <w:p w14:paraId="17413EAE" w14:textId="5B2116AE" w:rsidR="00810CAB" w:rsidRPr="00385C26" w:rsidRDefault="00810CAB" w:rsidP="0042568F">
      <w:pPr>
        <w:pStyle w:val="Body4"/>
      </w:pPr>
      <w:r w:rsidRPr="00385C26">
        <w:t>Bak, Krzysztof, ”De</w:t>
      </w:r>
      <w:r w:rsidR="00471298" w:rsidRPr="00385C26">
        <w:t>n kluvna kärnan.</w:t>
      </w:r>
      <w:r w:rsidRPr="00385C26">
        <w:t xml:space="preserve"> Läsningar av Birgitta Trotzigs ’Ormflickan’”, </w:t>
      </w:r>
      <w:r w:rsidRPr="00385C26">
        <w:rPr>
          <w:rStyle w:val="displayfields"/>
          <w:rFonts w:ascii="Times New Roman" w:hAnsi="Times New Roman"/>
          <w:i/>
        </w:rPr>
        <w:t>Acta Universitatis Carolinae. Philologica</w:t>
      </w:r>
      <w:r w:rsidRPr="00385C26">
        <w:rPr>
          <w:rStyle w:val="displayfields"/>
          <w:i/>
        </w:rPr>
        <w:t>. Germanistica Pragensia</w:t>
      </w:r>
      <w:r w:rsidRPr="00385C26">
        <w:t xml:space="preserve"> </w:t>
      </w:r>
      <w:r w:rsidRPr="00385C26">
        <w:rPr>
          <w:rStyle w:val="displayfields"/>
        </w:rPr>
        <w:t xml:space="preserve">21:1, </w:t>
      </w:r>
      <w:r w:rsidRPr="00385C26">
        <w:t>2012, s. 87–</w:t>
      </w:r>
      <w:r w:rsidR="00B87EEF" w:rsidRPr="00385C26">
        <w:t>9</w:t>
      </w:r>
      <w:r w:rsidRPr="00385C26">
        <w:t>8 (</w:t>
      </w:r>
      <w:r w:rsidR="00B87EEF" w:rsidRPr="00385C26">
        <w:t>Canvas</w:t>
      </w:r>
      <w:r w:rsidRPr="00385C26">
        <w:t>)</w:t>
      </w:r>
    </w:p>
    <w:p w14:paraId="3D0E4ABE" w14:textId="597F391B" w:rsidR="00D86364" w:rsidRPr="00385C26" w:rsidRDefault="00D86364" w:rsidP="0042568F">
      <w:pPr>
        <w:pStyle w:val="Body4"/>
      </w:pPr>
      <w:r w:rsidRPr="00385C26">
        <w:t>Bettelheim</w:t>
      </w:r>
      <w:r w:rsidR="00AA12A3" w:rsidRPr="00385C26">
        <w:t>, Bruno, ”</w:t>
      </w:r>
      <w:r w:rsidR="0042568F" w:rsidRPr="00385C26">
        <w:t>Ramberättelsen i ’Tusen och en natt’</w:t>
      </w:r>
      <w:r w:rsidRPr="00385C26">
        <w:t xml:space="preserve">” i förf:s </w:t>
      </w:r>
      <w:r w:rsidRPr="00385C26">
        <w:rPr>
          <w:i/>
        </w:rPr>
        <w:t>Sagans förtrollade värld. Folksagornas innebörd och betydelse</w:t>
      </w:r>
      <w:r w:rsidRPr="00385C26">
        <w:t xml:space="preserve"> (1976), över</w:t>
      </w:r>
      <w:r w:rsidR="00164657" w:rsidRPr="00385C26">
        <w:t>s. Disa Törngren, Stockholm 1978</w:t>
      </w:r>
      <w:r w:rsidR="00AA12A3" w:rsidRPr="00385C26">
        <w:t xml:space="preserve">, s. </w:t>
      </w:r>
      <w:r w:rsidR="0042568F" w:rsidRPr="00385C26">
        <w:t>106</w:t>
      </w:r>
      <w:r w:rsidR="00AA12A3" w:rsidRPr="00385C26">
        <w:t>–</w:t>
      </w:r>
      <w:r w:rsidR="0042568F" w:rsidRPr="00385C26">
        <w:t>110</w:t>
      </w:r>
      <w:r w:rsidRPr="00385C26">
        <w:t xml:space="preserve"> (</w:t>
      </w:r>
      <w:r w:rsidR="0042568F" w:rsidRPr="00385C26">
        <w:t>Canvas</w:t>
      </w:r>
      <w:r w:rsidRPr="00385C26">
        <w:t>)</w:t>
      </w:r>
    </w:p>
    <w:p w14:paraId="685627F9" w14:textId="77777777" w:rsidR="007D4C18" w:rsidRPr="00385C26" w:rsidRDefault="007D4C18" w:rsidP="0042568F">
      <w:pPr>
        <w:pStyle w:val="Body4"/>
      </w:pPr>
      <w:r w:rsidRPr="00385C26">
        <w:t xml:space="preserve">Borgström, Eva, ”Euphrosyne och bilderna av det kvinnliga”, </w:t>
      </w:r>
      <w:r w:rsidRPr="00385C26">
        <w:rPr>
          <w:i/>
        </w:rPr>
        <w:t>Romantikens kvinnor. Studier i det tidiga 1800-talets litteratur</w:t>
      </w:r>
      <w:r w:rsidRPr="00385C26">
        <w:t>, red. Birgitta Ahlmo-Nilsson m.fl., Johanneshov 1990, s. 10–31</w:t>
      </w:r>
    </w:p>
    <w:p w14:paraId="4C486A33" w14:textId="46F986B8" w:rsidR="00D86364" w:rsidRPr="00385C26" w:rsidRDefault="0042568F" w:rsidP="0042568F">
      <w:pPr>
        <w:pStyle w:val="Body4"/>
      </w:pPr>
      <w:r w:rsidRPr="00385C26">
        <w:t xml:space="preserve">Edenborg, Carl-Michael, </w:t>
      </w:r>
      <w:r w:rsidR="00385C26">
        <w:t>”</w:t>
      </w:r>
      <w:r w:rsidRPr="00385C26">
        <w:t xml:space="preserve">Efterskrift” i: </w:t>
      </w:r>
      <w:r w:rsidR="00385C26" w:rsidRPr="00385C26">
        <w:t xml:space="preserve">Ludwig Tieck, </w:t>
      </w:r>
      <w:r w:rsidR="00385C26" w:rsidRPr="00385C26">
        <w:rPr>
          <w:i/>
        </w:rPr>
        <w:t>Mästerkatten eller Katten i stöflor</w:t>
      </w:r>
      <w:r w:rsidR="00385C26" w:rsidRPr="00385C26">
        <w:t xml:space="preserve"> (1797), </w:t>
      </w:r>
      <w:r w:rsidR="00385C26">
        <w:t xml:space="preserve">utg. </w:t>
      </w:r>
      <w:r w:rsidR="00385C26" w:rsidRPr="00385C26">
        <w:t>Carl-Michael Edenborg, Lund 1999</w:t>
      </w:r>
      <w:r w:rsidR="00164657" w:rsidRPr="00385C26">
        <w:t xml:space="preserve">, </w:t>
      </w:r>
      <w:r w:rsidR="00D86364" w:rsidRPr="00385C26">
        <w:t>s. 1</w:t>
      </w:r>
      <w:r w:rsidR="00385C26" w:rsidRPr="00385C26">
        <w:t>09</w:t>
      </w:r>
      <w:r w:rsidR="00D86364" w:rsidRPr="00385C26">
        <w:t>–1</w:t>
      </w:r>
      <w:r w:rsidR="00385C26" w:rsidRPr="00385C26">
        <w:t>23</w:t>
      </w:r>
      <w:r w:rsidR="00D86364" w:rsidRPr="00385C26">
        <w:t xml:space="preserve"> (</w:t>
      </w:r>
      <w:r w:rsidRPr="00385C26">
        <w:t>Canvas</w:t>
      </w:r>
      <w:r w:rsidR="00D86364" w:rsidRPr="00385C26">
        <w:t>)</w:t>
      </w:r>
    </w:p>
    <w:p w14:paraId="700A090A" w14:textId="2D78E6A9" w:rsidR="00794AFA" w:rsidRPr="00385C26" w:rsidRDefault="00794AFA" w:rsidP="0042568F">
      <w:pPr>
        <w:pStyle w:val="Body4"/>
      </w:pPr>
      <w:r w:rsidRPr="00385C26">
        <w:t xml:space="preserve">Ernst, Nina, </w:t>
      </w:r>
      <w:r w:rsidR="00567987" w:rsidRPr="00385C26">
        <w:t xml:space="preserve">”Serieskapande som läkande kraft. Malin Billers onda saga” i förf:s </w:t>
      </w:r>
      <w:r w:rsidR="00567987" w:rsidRPr="00385C26">
        <w:rPr>
          <w:i/>
        </w:rPr>
        <w:t>Att teckna sitt jag. Grafiska självbiografier i Sverige</w:t>
      </w:r>
      <w:r w:rsidR="00567987" w:rsidRPr="00385C26">
        <w:t>, Malmö 2017, s. 177–205</w:t>
      </w:r>
      <w:r w:rsidR="000210BF" w:rsidRPr="00385C26">
        <w:t xml:space="preserve"> (</w:t>
      </w:r>
      <w:r w:rsidR="00385C26" w:rsidRPr="00385C26">
        <w:t>Canvas</w:t>
      </w:r>
      <w:r w:rsidR="000210BF" w:rsidRPr="00385C26">
        <w:t>)</w:t>
      </w:r>
    </w:p>
    <w:p w14:paraId="4C09AEA8" w14:textId="1235A967" w:rsidR="00E47DC9" w:rsidRPr="00C909A9" w:rsidRDefault="00E47DC9" w:rsidP="0042568F">
      <w:pPr>
        <w:pStyle w:val="Body4"/>
        <w:rPr>
          <w:lang w:val="en-US"/>
        </w:rPr>
      </w:pPr>
      <w:r w:rsidRPr="00385C26">
        <w:t xml:space="preserve">Fowler, Alastair, ”Concepts of Genre” i förf:s </w:t>
      </w:r>
      <w:r w:rsidR="006B221E" w:rsidRPr="00385C26">
        <w:rPr>
          <w:i/>
        </w:rPr>
        <w:t xml:space="preserve">Kinds of Literature. </w:t>
      </w:r>
      <w:r w:rsidR="006B221E" w:rsidRPr="00C909A9">
        <w:rPr>
          <w:i/>
          <w:lang w:val="en-US"/>
        </w:rPr>
        <w:t>An Introduction to the Theory of Genres and Modes</w:t>
      </w:r>
      <w:r w:rsidR="006B221E" w:rsidRPr="00C909A9">
        <w:rPr>
          <w:lang w:val="en-US"/>
        </w:rPr>
        <w:t>, Oxford 1982</w:t>
      </w:r>
      <w:r w:rsidR="000C65FE" w:rsidRPr="00C909A9">
        <w:rPr>
          <w:lang w:val="en-US"/>
        </w:rPr>
        <w:t>, s. 37–53 (alt.</w:t>
      </w:r>
      <w:r w:rsidRPr="00C909A9">
        <w:rPr>
          <w:lang w:val="en-US"/>
        </w:rPr>
        <w:t xml:space="preserve">: ”Genrebegrepp” i: </w:t>
      </w:r>
      <w:r w:rsidRPr="00C909A9">
        <w:rPr>
          <w:i/>
          <w:lang w:val="en-US"/>
        </w:rPr>
        <w:t>Genre</w:t>
      </w:r>
      <w:r w:rsidR="00385C26" w:rsidRPr="00C909A9">
        <w:rPr>
          <w:i/>
          <w:lang w:val="en-US"/>
        </w:rPr>
        <w:t>-</w:t>
      </w:r>
      <w:r w:rsidRPr="00C909A9">
        <w:rPr>
          <w:i/>
          <w:lang w:val="en-US"/>
        </w:rPr>
        <w:t>teori</w:t>
      </w:r>
      <w:r w:rsidRPr="00C909A9">
        <w:rPr>
          <w:lang w:val="en-US"/>
        </w:rPr>
        <w:t>, red. Eva Haettner Aurelius &amp; Thomas Götselius</w:t>
      </w:r>
      <w:r w:rsidR="00296368" w:rsidRPr="00C909A9">
        <w:rPr>
          <w:lang w:val="en-US"/>
        </w:rPr>
        <w:t>, Lund 1997</w:t>
      </w:r>
      <w:r w:rsidRPr="00C909A9">
        <w:rPr>
          <w:lang w:val="en-US"/>
        </w:rPr>
        <w:t>, s. 254–273)</w:t>
      </w:r>
    </w:p>
    <w:p w14:paraId="2A7E3DC5" w14:textId="258D6902" w:rsidR="005A4D85" w:rsidRPr="00C909A9" w:rsidRDefault="005A4D85" w:rsidP="0042568F">
      <w:pPr>
        <w:pStyle w:val="Body4"/>
        <w:rPr>
          <w:lang w:val="en-US"/>
        </w:rPr>
      </w:pPr>
      <w:r w:rsidRPr="00C909A9">
        <w:rPr>
          <w:lang w:val="en-US"/>
        </w:rPr>
        <w:t xml:space="preserve">Irwin, Robert, ”Sexual Fictions” i förf:s </w:t>
      </w:r>
      <w:r w:rsidRPr="00C909A9">
        <w:rPr>
          <w:i/>
          <w:lang w:val="en-US"/>
        </w:rPr>
        <w:t>The Arabian Nights. A Companion</w:t>
      </w:r>
      <w:r w:rsidR="00296368" w:rsidRPr="00C909A9">
        <w:rPr>
          <w:lang w:val="en-US"/>
        </w:rPr>
        <w:t>, London etc. 1994</w:t>
      </w:r>
      <w:r w:rsidRPr="00C909A9">
        <w:rPr>
          <w:lang w:val="en-US"/>
        </w:rPr>
        <w:t>, s. 159–163, 166–177 (</w:t>
      </w:r>
      <w:r w:rsidR="00385C26" w:rsidRPr="00C909A9">
        <w:rPr>
          <w:lang w:val="en-US"/>
        </w:rPr>
        <w:t>Canvas</w:t>
      </w:r>
      <w:r w:rsidRPr="00C909A9">
        <w:rPr>
          <w:lang w:val="en-US"/>
        </w:rPr>
        <w:t>)</w:t>
      </w:r>
    </w:p>
    <w:p w14:paraId="48148722" w14:textId="77777777" w:rsidR="00826EDD" w:rsidRPr="00C909A9" w:rsidRDefault="00826EDD" w:rsidP="0042568F">
      <w:pPr>
        <w:pStyle w:val="Body4"/>
        <w:rPr>
          <w:lang w:val="en-US"/>
        </w:rPr>
      </w:pPr>
      <w:r w:rsidRPr="00C909A9">
        <w:rPr>
          <w:lang w:val="en-US"/>
        </w:rPr>
        <w:t xml:space="preserve">Jarvis, Shawn, ”Feminism and Fairy Tales”, </w:t>
      </w:r>
      <w:r w:rsidR="00300AC8" w:rsidRPr="00C909A9">
        <w:rPr>
          <w:i/>
          <w:lang w:val="en-US"/>
        </w:rPr>
        <w:t>The Oxford Companion to Fairy Tales</w:t>
      </w:r>
      <w:r w:rsidR="00300AC8" w:rsidRPr="00C909A9">
        <w:rPr>
          <w:lang w:val="en-US"/>
        </w:rPr>
        <w:t xml:space="preserve">, red. Jack Zipes, 2:a uppl., </w:t>
      </w:r>
      <w:r w:rsidR="00B75091" w:rsidRPr="00C909A9">
        <w:rPr>
          <w:lang w:val="en-US"/>
        </w:rPr>
        <w:t xml:space="preserve">Oxford </w:t>
      </w:r>
      <w:r w:rsidR="00300AC8" w:rsidRPr="00C909A9">
        <w:rPr>
          <w:lang w:val="en-US"/>
        </w:rPr>
        <w:t>2015 (LUB: e-bok)</w:t>
      </w:r>
    </w:p>
    <w:p w14:paraId="5690F1A7" w14:textId="187F14DD" w:rsidR="00810CAB" w:rsidRPr="00C909A9" w:rsidRDefault="00810CAB" w:rsidP="0042568F">
      <w:pPr>
        <w:pStyle w:val="Body4"/>
        <w:rPr>
          <w:lang w:val="en-US"/>
        </w:rPr>
      </w:pPr>
      <w:r w:rsidRPr="00C909A9">
        <w:rPr>
          <w:lang w:val="en-US"/>
        </w:rPr>
        <w:t xml:space="preserve">Lüthi, Max, ”Depthlessness” i förf:s </w:t>
      </w:r>
      <w:r w:rsidRPr="00C909A9">
        <w:rPr>
          <w:i/>
          <w:lang w:val="en-US"/>
        </w:rPr>
        <w:t>The European Folktale: Form and Nature</w:t>
      </w:r>
      <w:r w:rsidRPr="00C909A9">
        <w:rPr>
          <w:lang w:val="en-US"/>
        </w:rPr>
        <w:t xml:space="preserve"> (1947</w:t>
      </w:r>
      <w:r w:rsidR="00296368" w:rsidRPr="00C909A9">
        <w:rPr>
          <w:lang w:val="en-US"/>
        </w:rPr>
        <w:t>)</w:t>
      </w:r>
      <w:r w:rsidRPr="00C909A9">
        <w:rPr>
          <w:lang w:val="en-US"/>
        </w:rPr>
        <w:t xml:space="preserve">, eng. övers. </w:t>
      </w:r>
      <w:r w:rsidR="00296368" w:rsidRPr="00C909A9">
        <w:rPr>
          <w:lang w:val="en-US"/>
        </w:rPr>
        <w:t>John D. Niles, Bloomington 1986</w:t>
      </w:r>
      <w:r w:rsidRPr="00C909A9">
        <w:rPr>
          <w:lang w:val="en-US"/>
        </w:rPr>
        <w:t>, s. 11–23 (</w:t>
      </w:r>
      <w:r w:rsidR="00385C26" w:rsidRPr="00C909A9">
        <w:rPr>
          <w:lang w:val="en-US"/>
        </w:rPr>
        <w:t>Canvas</w:t>
      </w:r>
      <w:r w:rsidRPr="00C909A9">
        <w:rPr>
          <w:lang w:val="en-US"/>
        </w:rPr>
        <w:t>)</w:t>
      </w:r>
    </w:p>
    <w:p w14:paraId="11936664" w14:textId="1B621170" w:rsidR="00455514" w:rsidRPr="00C909A9" w:rsidRDefault="00455514" w:rsidP="0042568F">
      <w:pPr>
        <w:pStyle w:val="Body4"/>
        <w:rPr>
          <w:lang w:val="en-US"/>
        </w:rPr>
      </w:pPr>
      <w:r w:rsidRPr="00C909A9">
        <w:rPr>
          <w:lang w:val="en-US"/>
        </w:rPr>
        <w:t xml:space="preserve">Makinen, Merja, ”Theorizing Fairy-Tale Fiction: Reading Jeanette Winterson”, </w:t>
      </w:r>
      <w:r w:rsidRPr="00C909A9">
        <w:rPr>
          <w:i/>
          <w:lang w:val="en-US"/>
        </w:rPr>
        <w:t>Contempo-rary Fiction and the Fairy Tale</w:t>
      </w:r>
      <w:r w:rsidR="008263C9" w:rsidRPr="00C909A9">
        <w:rPr>
          <w:lang w:val="en-US"/>
        </w:rPr>
        <w:t>, red. Stephen Benson, Detroit 2008</w:t>
      </w:r>
      <w:r w:rsidRPr="00C909A9">
        <w:rPr>
          <w:lang w:val="en-US"/>
        </w:rPr>
        <w:t>, s. 144–</w:t>
      </w:r>
      <w:r w:rsidR="00385C26" w:rsidRPr="00C909A9">
        <w:rPr>
          <w:lang w:val="en-US"/>
        </w:rPr>
        <w:t>162, 169–</w:t>
      </w:r>
      <w:r w:rsidRPr="00C909A9">
        <w:rPr>
          <w:lang w:val="en-US"/>
        </w:rPr>
        <w:t xml:space="preserve">177 </w:t>
      </w:r>
      <w:r w:rsidR="008263C9" w:rsidRPr="00C909A9">
        <w:rPr>
          <w:lang w:val="en-US"/>
        </w:rPr>
        <w:t>(</w:t>
      </w:r>
      <w:r w:rsidRPr="00C909A9">
        <w:rPr>
          <w:lang w:val="en-US"/>
        </w:rPr>
        <w:t>LUB</w:t>
      </w:r>
      <w:r w:rsidR="008263C9" w:rsidRPr="00C909A9">
        <w:rPr>
          <w:lang w:val="en-US"/>
        </w:rPr>
        <w:t>: e-bok</w:t>
      </w:r>
      <w:r w:rsidRPr="00C909A9">
        <w:rPr>
          <w:lang w:val="en-US"/>
        </w:rPr>
        <w:t>)</w:t>
      </w:r>
    </w:p>
    <w:p w14:paraId="5ECBD22F" w14:textId="77777777" w:rsidR="000879C5" w:rsidRPr="00C909A9" w:rsidRDefault="000879C5" w:rsidP="0042568F">
      <w:pPr>
        <w:pStyle w:val="Body4"/>
        <w:rPr>
          <w:lang w:val="en-US"/>
        </w:rPr>
      </w:pPr>
      <w:r w:rsidRPr="00C909A9">
        <w:rPr>
          <w:lang w:val="en-US"/>
        </w:rPr>
        <w:t xml:space="preserve">Monaghan, David M., ”The Literary Fairy-Tale: A Study of Oscar Wilde’s ’The Happy Prince’ and ’The Star-Child’”, </w:t>
      </w:r>
      <w:r w:rsidRPr="00C909A9">
        <w:rPr>
          <w:i/>
          <w:lang w:val="en-US"/>
        </w:rPr>
        <w:t>Canadian Review of Comparative Literature</w:t>
      </w:r>
      <w:r w:rsidRPr="00C909A9">
        <w:rPr>
          <w:lang w:val="en-US"/>
        </w:rPr>
        <w:t xml:space="preserve"> 1:2 1974, s. 156–166 (via LUBsearch)</w:t>
      </w:r>
    </w:p>
    <w:p w14:paraId="4C4B3655" w14:textId="6CA06C33" w:rsidR="00FA2786" w:rsidRPr="00C909A9" w:rsidRDefault="00FA2786" w:rsidP="0042568F">
      <w:pPr>
        <w:pStyle w:val="Body4"/>
        <w:rPr>
          <w:lang w:val="en-US"/>
        </w:rPr>
      </w:pPr>
      <w:r w:rsidRPr="00C909A9">
        <w:rPr>
          <w:lang w:val="en-US"/>
        </w:rPr>
        <w:t>Murphy, Terence Patrick, ”</w:t>
      </w:r>
      <w:r w:rsidRPr="00C909A9">
        <w:rPr>
          <w:i/>
          <w:lang w:val="en-US"/>
        </w:rPr>
        <w:t>Puss-in-Boots</w:t>
      </w:r>
      <w:r w:rsidRPr="00C909A9">
        <w:rPr>
          <w:lang w:val="en-US"/>
        </w:rPr>
        <w:t xml:space="preserve">: The Character of the Angelic Double” i förf:s </w:t>
      </w:r>
      <w:r w:rsidRPr="00C909A9">
        <w:rPr>
          <w:i/>
          <w:lang w:val="en-US"/>
        </w:rPr>
        <w:t>The Fairytale and Plot Structure</w:t>
      </w:r>
      <w:r w:rsidRPr="00C909A9">
        <w:rPr>
          <w:lang w:val="en-US"/>
        </w:rPr>
        <w:t>, New York 2015, s. 118–128 (</w:t>
      </w:r>
      <w:r w:rsidR="00385C26" w:rsidRPr="00C909A9">
        <w:rPr>
          <w:lang w:val="en-US"/>
        </w:rPr>
        <w:t>Canvas</w:t>
      </w:r>
      <w:r w:rsidRPr="00C909A9">
        <w:rPr>
          <w:lang w:val="en-US"/>
        </w:rPr>
        <w:t>)</w:t>
      </w:r>
    </w:p>
    <w:p w14:paraId="7C702BDF" w14:textId="77777777" w:rsidR="00EC1420" w:rsidRPr="00C909A9" w:rsidRDefault="00EC1420" w:rsidP="0042568F">
      <w:pPr>
        <w:pStyle w:val="Body4"/>
        <w:rPr>
          <w:lang w:val="en-US"/>
        </w:rPr>
      </w:pPr>
      <w:r w:rsidRPr="00385C26">
        <w:lastRenderedPageBreak/>
        <w:t xml:space="preserve">Nyborg, Eigil, ”Snedronningen” i förf:s </w:t>
      </w:r>
      <w:r w:rsidRPr="00385C26">
        <w:rPr>
          <w:i/>
        </w:rPr>
        <w:t xml:space="preserve">Den indre linje i H. C. Andersens eventyr. </w:t>
      </w:r>
      <w:r w:rsidRPr="00C909A9">
        <w:rPr>
          <w:i/>
          <w:lang w:val="en-US"/>
        </w:rPr>
        <w:t>En psyko</w:t>
      </w:r>
      <w:r w:rsidR="00411FE2" w:rsidRPr="00C909A9">
        <w:rPr>
          <w:i/>
          <w:lang w:val="en-US"/>
        </w:rPr>
        <w:t>-</w:t>
      </w:r>
      <w:r w:rsidRPr="00C909A9">
        <w:rPr>
          <w:i/>
          <w:lang w:val="en-US"/>
        </w:rPr>
        <w:t>logisk studie</w:t>
      </w:r>
      <w:r w:rsidRPr="00C909A9">
        <w:rPr>
          <w:lang w:val="en-US"/>
        </w:rPr>
        <w:t>, Köpenh</w:t>
      </w:r>
      <w:r w:rsidR="000D4EEE" w:rsidRPr="00C909A9">
        <w:rPr>
          <w:lang w:val="en-US"/>
        </w:rPr>
        <w:t>amn 1962, s. 123–158</w:t>
      </w:r>
    </w:p>
    <w:p w14:paraId="765017C6" w14:textId="4F5AFB8F" w:rsidR="00794AFA" w:rsidRPr="00385C26" w:rsidRDefault="00794AFA" w:rsidP="0042568F">
      <w:pPr>
        <w:pStyle w:val="Body4"/>
      </w:pPr>
      <w:r w:rsidRPr="00C909A9">
        <w:rPr>
          <w:lang w:val="en-US"/>
        </w:rPr>
        <w:t xml:space="preserve">Propp, Vladimir, </w:t>
      </w:r>
      <w:r w:rsidR="00567987" w:rsidRPr="00C909A9">
        <w:rPr>
          <w:lang w:val="en-US"/>
        </w:rPr>
        <w:t xml:space="preserve">”The Distribution of Functions among the Dramatis Personae” i förf:s </w:t>
      </w:r>
      <w:r w:rsidR="00567987" w:rsidRPr="00C909A9">
        <w:rPr>
          <w:i/>
          <w:lang w:val="en-US"/>
        </w:rPr>
        <w:t>Mor</w:t>
      </w:r>
      <w:r w:rsidR="00411FE2" w:rsidRPr="00C909A9">
        <w:rPr>
          <w:i/>
          <w:lang w:val="en-US"/>
        </w:rPr>
        <w:t>-</w:t>
      </w:r>
      <w:r w:rsidR="00567987" w:rsidRPr="00C909A9">
        <w:rPr>
          <w:i/>
          <w:lang w:val="en-US"/>
        </w:rPr>
        <w:t>phology of the Folktale</w:t>
      </w:r>
      <w:r w:rsidR="00567987" w:rsidRPr="00C909A9">
        <w:rPr>
          <w:lang w:val="en-US"/>
        </w:rPr>
        <w:t xml:space="preserve"> (1928), eng. övers. </w:t>
      </w:r>
      <w:r w:rsidR="00567987" w:rsidRPr="00385C26">
        <w:t>Laurence Scott, Philadelphia 1958, s. 72–75 (</w:t>
      </w:r>
      <w:r w:rsidR="00385C26" w:rsidRPr="00385C26">
        <w:t>Canvas</w:t>
      </w:r>
      <w:r w:rsidR="00567987" w:rsidRPr="00385C26">
        <w:t>)</w:t>
      </w:r>
    </w:p>
    <w:p w14:paraId="79ACFA3E" w14:textId="77777777" w:rsidR="00FD3518" w:rsidRPr="00385C26" w:rsidRDefault="00FD3518" w:rsidP="0042568F">
      <w:pPr>
        <w:pStyle w:val="Body4"/>
      </w:pPr>
      <w:r w:rsidRPr="00385C26">
        <w:t xml:space="preserve">Simonsen, Rasmus R., ”Dark Avunculate: Shame, Animality, and Queer Development in Oscar Wilde’s ’The Star-Child’”, </w:t>
      </w:r>
      <w:r w:rsidRPr="00385C26">
        <w:rPr>
          <w:i/>
        </w:rPr>
        <w:t>Children’s Literature</w:t>
      </w:r>
      <w:r w:rsidRPr="00385C26">
        <w:t xml:space="preserve"> 42, 2014, s. 20–41 (via LUBsearch)</w:t>
      </w:r>
    </w:p>
    <w:p w14:paraId="7C090B57" w14:textId="77777777" w:rsidR="00832243" w:rsidRPr="00385C26" w:rsidRDefault="00832243" w:rsidP="0042568F">
      <w:pPr>
        <w:pStyle w:val="Body4"/>
      </w:pPr>
      <w:r w:rsidRPr="00385C26">
        <w:t xml:space="preserve">Teverson, Andrew, </w:t>
      </w:r>
      <w:r w:rsidRPr="00385C26">
        <w:rPr>
          <w:i/>
        </w:rPr>
        <w:t>Fairy Tale</w:t>
      </w:r>
      <w:r w:rsidRPr="00385C26">
        <w:t>, London 2013</w:t>
      </w:r>
      <w:r w:rsidR="000C0C3F" w:rsidRPr="00385C26">
        <w:t>, 167 s.</w:t>
      </w:r>
      <w:r w:rsidR="003012C5" w:rsidRPr="00385C26">
        <w:t xml:space="preserve"> </w:t>
      </w:r>
      <w:r w:rsidRPr="00385C26">
        <w:t>(LUB: e-bok)</w:t>
      </w:r>
    </w:p>
    <w:p w14:paraId="373AB5F5" w14:textId="4E28BB0F" w:rsidR="000C0C3F" w:rsidRDefault="00FA252B" w:rsidP="00385C26">
      <w:pPr>
        <w:pStyle w:val="Body4"/>
      </w:pPr>
      <w:r w:rsidRPr="00385C26">
        <w:t xml:space="preserve">Weitzman, Erica, ”The World in Pieces: Concepts of Anxiety in H. C. Andersen’s ’The Snow Queen’”, </w:t>
      </w:r>
      <w:r w:rsidRPr="00385C26">
        <w:rPr>
          <w:i/>
        </w:rPr>
        <w:t>Modern Language Notes</w:t>
      </w:r>
      <w:r w:rsidRPr="00385C26">
        <w:t xml:space="preserve"> 122:5, 2007, s. 1105–1123 (via LUBsearch)</w:t>
      </w:r>
    </w:p>
    <w:p w14:paraId="0B9D1794" w14:textId="77777777" w:rsidR="00385C26" w:rsidRPr="00385C26" w:rsidRDefault="00385C26" w:rsidP="00385C26">
      <w:pPr>
        <w:pStyle w:val="Body4"/>
      </w:pPr>
    </w:p>
    <w:p w14:paraId="62633C09" w14:textId="30497863" w:rsidR="000C0C3F" w:rsidRPr="00385C26" w:rsidRDefault="000C0C3F" w:rsidP="000C0C3F">
      <w:pPr>
        <w:rPr>
          <w:b/>
        </w:rPr>
      </w:pPr>
      <w:r w:rsidRPr="00385C26">
        <w:tab/>
      </w:r>
      <w:r w:rsidRPr="00385C26">
        <w:tab/>
      </w:r>
      <w:r w:rsidRPr="00385C26">
        <w:tab/>
      </w:r>
      <w:r w:rsidRPr="00385C26">
        <w:tab/>
      </w:r>
      <w:r w:rsidRPr="00385C26">
        <w:tab/>
      </w:r>
      <w:r w:rsidRPr="00385C26">
        <w:tab/>
      </w:r>
      <w:r w:rsidRPr="00385C26">
        <w:rPr>
          <w:b/>
        </w:rPr>
        <w:t xml:space="preserve">ca </w:t>
      </w:r>
      <w:r w:rsidR="00385C26">
        <w:rPr>
          <w:b/>
        </w:rPr>
        <w:t>44</w:t>
      </w:r>
      <w:r w:rsidRPr="00385C26">
        <w:rPr>
          <w:b/>
        </w:rPr>
        <w:t>0 s.</w:t>
      </w:r>
    </w:p>
    <w:p w14:paraId="140322C7" w14:textId="77777777" w:rsidR="000C0C3F" w:rsidRPr="00385C26" w:rsidRDefault="000C0C3F" w:rsidP="000C0C3F"/>
    <w:sectPr w:rsidR="000C0C3F" w:rsidRPr="00385C2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1CF8" w14:textId="77777777" w:rsidR="008D7ECA" w:rsidRDefault="008D7ECA" w:rsidP="003012C5">
      <w:r>
        <w:separator/>
      </w:r>
    </w:p>
  </w:endnote>
  <w:endnote w:type="continuationSeparator" w:id="0">
    <w:p w14:paraId="0E703004" w14:textId="77777777" w:rsidR="008D7ECA" w:rsidRDefault="008D7ECA" w:rsidP="0030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296"/>
      <w:docPartObj>
        <w:docPartGallery w:val="Page Numbers (Bottom of Page)"/>
        <w:docPartUnique/>
      </w:docPartObj>
    </w:sdtPr>
    <w:sdtEndPr/>
    <w:sdtContent>
      <w:p w14:paraId="6EF1B7A4" w14:textId="1FA297AD" w:rsidR="003012C5" w:rsidRDefault="003012C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9A9">
          <w:t>1</w:t>
        </w:r>
        <w:r>
          <w:fldChar w:fldCharType="end"/>
        </w:r>
      </w:p>
    </w:sdtContent>
  </w:sdt>
  <w:p w14:paraId="4A1F0065" w14:textId="77777777" w:rsidR="003012C5" w:rsidRDefault="003012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874C1" w14:textId="77777777" w:rsidR="008D7ECA" w:rsidRDefault="008D7ECA" w:rsidP="003012C5">
      <w:r>
        <w:separator/>
      </w:r>
    </w:p>
  </w:footnote>
  <w:footnote w:type="continuationSeparator" w:id="0">
    <w:p w14:paraId="3229AF55" w14:textId="77777777" w:rsidR="008D7ECA" w:rsidRDefault="008D7ECA" w:rsidP="0030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C9"/>
    <w:rsid w:val="00006848"/>
    <w:rsid w:val="000210BF"/>
    <w:rsid w:val="0003123A"/>
    <w:rsid w:val="0005183B"/>
    <w:rsid w:val="000818FC"/>
    <w:rsid w:val="000879C5"/>
    <w:rsid w:val="000B38CD"/>
    <w:rsid w:val="000C0C3F"/>
    <w:rsid w:val="000C65FE"/>
    <w:rsid w:val="000D4EEE"/>
    <w:rsid w:val="000D69B9"/>
    <w:rsid w:val="0014196A"/>
    <w:rsid w:val="00164657"/>
    <w:rsid w:val="00187DB3"/>
    <w:rsid w:val="001A447B"/>
    <w:rsid w:val="001C1D67"/>
    <w:rsid w:val="001C7116"/>
    <w:rsid w:val="001D02D1"/>
    <w:rsid w:val="00276C4C"/>
    <w:rsid w:val="00292340"/>
    <w:rsid w:val="00296368"/>
    <w:rsid w:val="00300AC8"/>
    <w:rsid w:val="003012C5"/>
    <w:rsid w:val="0034229C"/>
    <w:rsid w:val="003851F7"/>
    <w:rsid w:val="00385C26"/>
    <w:rsid w:val="003C4399"/>
    <w:rsid w:val="003D0649"/>
    <w:rsid w:val="00411FE2"/>
    <w:rsid w:val="00414F36"/>
    <w:rsid w:val="0042568F"/>
    <w:rsid w:val="0044771E"/>
    <w:rsid w:val="00455514"/>
    <w:rsid w:val="00471298"/>
    <w:rsid w:val="0048598A"/>
    <w:rsid w:val="004D6562"/>
    <w:rsid w:val="004E7A21"/>
    <w:rsid w:val="0053628E"/>
    <w:rsid w:val="005501E3"/>
    <w:rsid w:val="00567987"/>
    <w:rsid w:val="005A4D85"/>
    <w:rsid w:val="006136C5"/>
    <w:rsid w:val="006255C8"/>
    <w:rsid w:val="006B221E"/>
    <w:rsid w:val="006C4163"/>
    <w:rsid w:val="006D006F"/>
    <w:rsid w:val="00752290"/>
    <w:rsid w:val="00762C08"/>
    <w:rsid w:val="00765F72"/>
    <w:rsid w:val="00794AFA"/>
    <w:rsid w:val="007C676D"/>
    <w:rsid w:val="007D4C18"/>
    <w:rsid w:val="007E7F11"/>
    <w:rsid w:val="00810CAB"/>
    <w:rsid w:val="008263C9"/>
    <w:rsid w:val="00826EDD"/>
    <w:rsid w:val="00830A05"/>
    <w:rsid w:val="00832243"/>
    <w:rsid w:val="00847816"/>
    <w:rsid w:val="008B3DC4"/>
    <w:rsid w:val="008B4311"/>
    <w:rsid w:val="008D74AD"/>
    <w:rsid w:val="008D7ECA"/>
    <w:rsid w:val="008F21B5"/>
    <w:rsid w:val="0091030D"/>
    <w:rsid w:val="00923720"/>
    <w:rsid w:val="00941847"/>
    <w:rsid w:val="009A0FB0"/>
    <w:rsid w:val="00A40FF9"/>
    <w:rsid w:val="00A55E01"/>
    <w:rsid w:val="00A8018B"/>
    <w:rsid w:val="00A8246F"/>
    <w:rsid w:val="00AA12A3"/>
    <w:rsid w:val="00AE00FE"/>
    <w:rsid w:val="00B12360"/>
    <w:rsid w:val="00B31965"/>
    <w:rsid w:val="00B75091"/>
    <w:rsid w:val="00B82D9F"/>
    <w:rsid w:val="00B87EEF"/>
    <w:rsid w:val="00BD0696"/>
    <w:rsid w:val="00BF7AC4"/>
    <w:rsid w:val="00C00A81"/>
    <w:rsid w:val="00C75276"/>
    <w:rsid w:val="00C909A9"/>
    <w:rsid w:val="00C94DB5"/>
    <w:rsid w:val="00CA69F1"/>
    <w:rsid w:val="00CA7FEB"/>
    <w:rsid w:val="00CB61A8"/>
    <w:rsid w:val="00D008CC"/>
    <w:rsid w:val="00D27C4C"/>
    <w:rsid w:val="00D459C3"/>
    <w:rsid w:val="00D47E60"/>
    <w:rsid w:val="00D61547"/>
    <w:rsid w:val="00D86364"/>
    <w:rsid w:val="00DD7D6C"/>
    <w:rsid w:val="00DF427A"/>
    <w:rsid w:val="00E008F9"/>
    <w:rsid w:val="00E12CF7"/>
    <w:rsid w:val="00E33223"/>
    <w:rsid w:val="00E47DC9"/>
    <w:rsid w:val="00E726A9"/>
    <w:rsid w:val="00EA01CF"/>
    <w:rsid w:val="00EC0578"/>
    <w:rsid w:val="00EC1420"/>
    <w:rsid w:val="00F67DF3"/>
    <w:rsid w:val="00FA252B"/>
    <w:rsid w:val="00FA2786"/>
    <w:rsid w:val="00FA4B88"/>
    <w:rsid w:val="00FA729F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A156"/>
  <w15:docId w15:val="{E31D1AB3-16F3-434D-8337-6DB4E13A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C9"/>
    <w:rPr>
      <w:rFonts w:eastAsiaTheme="minorHAnsi"/>
      <w:noProof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E47DC9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D3518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FD3518"/>
    <w:rPr>
      <w:b/>
      <w:bCs/>
    </w:rPr>
  </w:style>
  <w:style w:type="character" w:customStyle="1" w:styleId="displayfields">
    <w:name w:val="displayfields"/>
    <w:basedOn w:val="Standardstycketeckensnitt"/>
    <w:rsid w:val="00810CAB"/>
  </w:style>
  <w:style w:type="character" w:customStyle="1" w:styleId="Underrubrik1">
    <w:name w:val="Underrubrik1"/>
    <w:basedOn w:val="Standardstycketeckensnitt"/>
    <w:rsid w:val="008263C9"/>
  </w:style>
  <w:style w:type="paragraph" w:styleId="Sidhuvud">
    <w:name w:val="header"/>
    <w:basedOn w:val="Normal"/>
    <w:link w:val="SidhuvudChar"/>
    <w:uiPriority w:val="99"/>
    <w:unhideWhenUsed/>
    <w:rsid w:val="003012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012C5"/>
    <w:rPr>
      <w:rFonts w:eastAsiaTheme="minorHAnsi"/>
      <w:noProof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012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012C5"/>
    <w:rPr>
      <w:rFonts w:eastAsiaTheme="minorHAns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Rasmus Carlsson</cp:lastModifiedBy>
  <cp:revision>3</cp:revision>
  <cp:lastPrinted>2016-11-11T12:13:00Z</cp:lastPrinted>
  <dcterms:created xsi:type="dcterms:W3CDTF">2020-12-09T13:59:00Z</dcterms:created>
  <dcterms:modified xsi:type="dcterms:W3CDTF">2020-12-09T14:51:00Z</dcterms:modified>
</cp:coreProperties>
</file>