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8535E" w14:textId="77777777" w:rsidR="00D93D2C" w:rsidRDefault="00D93D2C" w:rsidP="00D93D2C"/>
    <w:p w14:paraId="6AC2FA94" w14:textId="796C7BC5" w:rsidR="00D93D2C" w:rsidRDefault="00D93D2C" w:rsidP="00D93D2C">
      <w:pPr>
        <w:spacing w:after="120" w:line="288" w:lineRule="auto"/>
        <w:rPr>
          <w:b/>
        </w:rPr>
      </w:pPr>
      <w:r w:rsidRPr="00442339">
        <w:rPr>
          <w:b/>
          <w:sz w:val="28"/>
          <w:szCs w:val="28"/>
        </w:rPr>
        <w:t>Lunds universitet</w:t>
      </w:r>
      <w:r w:rsidRPr="00442339">
        <w:rPr>
          <w:b/>
          <w:sz w:val="28"/>
          <w:szCs w:val="28"/>
        </w:rPr>
        <w:tab/>
      </w:r>
      <w:r w:rsidRPr="00442339">
        <w:rPr>
          <w:b/>
          <w:sz w:val="28"/>
          <w:szCs w:val="28"/>
        </w:rPr>
        <w:tab/>
      </w:r>
      <w:r w:rsidRPr="00442339"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VT 2021</w:t>
      </w:r>
    </w:p>
    <w:p w14:paraId="5513EE9F" w14:textId="77777777" w:rsidR="00D93D2C" w:rsidRPr="00442339" w:rsidRDefault="00D93D2C" w:rsidP="00D93D2C">
      <w:pPr>
        <w:spacing w:after="120" w:line="288" w:lineRule="auto"/>
        <w:rPr>
          <w:b/>
        </w:rPr>
      </w:pPr>
      <w:r w:rsidRPr="00442339">
        <w:rPr>
          <w:b/>
        </w:rPr>
        <w:t>Språk- och litteraturcentrum</w:t>
      </w:r>
    </w:p>
    <w:p w14:paraId="78B62CAA" w14:textId="77777777" w:rsidR="00D93D2C" w:rsidRPr="00442339" w:rsidRDefault="00D93D2C" w:rsidP="00D93D2C">
      <w:pPr>
        <w:spacing w:after="120" w:line="288" w:lineRule="auto"/>
        <w:rPr>
          <w:b/>
        </w:rPr>
      </w:pPr>
      <w:r w:rsidRPr="00442339">
        <w:rPr>
          <w:b/>
        </w:rPr>
        <w:t>Litteraturvetenskap</w:t>
      </w:r>
    </w:p>
    <w:p w14:paraId="7FDC6CF7" w14:textId="240CB668" w:rsidR="00D93D2C" w:rsidRDefault="00D93D2C" w:rsidP="00D93D2C">
      <w:pPr>
        <w:pStyle w:val="Titelverst"/>
        <w:spacing w:line="288" w:lineRule="auto"/>
        <w:rPr>
          <w:b/>
          <w:sz w:val="24"/>
          <w:szCs w:val="24"/>
        </w:rPr>
      </w:pPr>
      <w:r w:rsidRPr="007F35AC">
        <w:rPr>
          <w:b/>
          <w:sz w:val="24"/>
          <w:szCs w:val="24"/>
        </w:rPr>
        <w:t>LIVK10: Litteraturteori (7,5 hp)</w:t>
      </w:r>
    </w:p>
    <w:p w14:paraId="66AB3F54" w14:textId="77777777" w:rsidR="00DD6BAC" w:rsidRDefault="00DD6BAC" w:rsidP="00DD6BAC">
      <w:pPr>
        <w:rPr>
          <w:b/>
          <w:bCs/>
        </w:rPr>
      </w:pPr>
      <w:r>
        <w:t>Fastställd av Sektionsstyrelse 2, Språk- och litteraturcentrum 8.12.20</w:t>
      </w:r>
    </w:p>
    <w:p w14:paraId="16BE8B9A" w14:textId="77777777" w:rsidR="00DD6BAC" w:rsidRPr="007F35AC" w:rsidRDefault="00DD6BAC" w:rsidP="00D93D2C">
      <w:pPr>
        <w:pStyle w:val="Titelverst"/>
        <w:spacing w:line="288" w:lineRule="auto"/>
        <w:rPr>
          <w:b/>
          <w:sz w:val="24"/>
          <w:szCs w:val="24"/>
        </w:rPr>
      </w:pPr>
      <w:bookmarkStart w:id="0" w:name="_GoBack"/>
      <w:bookmarkEnd w:id="0"/>
    </w:p>
    <w:p w14:paraId="464D3FA2" w14:textId="77777777" w:rsidR="00D93D2C" w:rsidRPr="007F35AC" w:rsidRDefault="00D93D2C" w:rsidP="00D93D2C">
      <w:pPr>
        <w:pStyle w:val="Titelverst"/>
        <w:spacing w:line="240" w:lineRule="auto"/>
        <w:rPr>
          <w:sz w:val="24"/>
          <w:szCs w:val="24"/>
          <w:u w:val="single"/>
        </w:rPr>
      </w:pPr>
    </w:p>
    <w:p w14:paraId="1C8F0617" w14:textId="77777777" w:rsidR="00D93D2C" w:rsidRPr="003D0D20" w:rsidRDefault="00D93D2C" w:rsidP="00D93D2C">
      <w:pPr>
        <w:pStyle w:val="Titelverst"/>
        <w:spacing w:line="240" w:lineRule="auto"/>
        <w:rPr>
          <w:sz w:val="24"/>
          <w:szCs w:val="24"/>
          <w:u w:val="single"/>
          <w:lang w:val="en-US"/>
        </w:rPr>
      </w:pPr>
      <w:r w:rsidRPr="003D0D20">
        <w:rPr>
          <w:sz w:val="24"/>
          <w:szCs w:val="24"/>
          <w:u w:val="single"/>
          <w:lang w:val="en-US"/>
        </w:rPr>
        <w:t>Översiktsverk</w:t>
      </w:r>
    </w:p>
    <w:p w14:paraId="35E96AD6" w14:textId="77777777" w:rsidR="00D93D2C" w:rsidRPr="003D0D20" w:rsidRDefault="00D93D2C" w:rsidP="00D93D2C">
      <w:pPr>
        <w:pStyle w:val="Titelverst"/>
        <w:spacing w:line="240" w:lineRule="auto"/>
        <w:rPr>
          <w:sz w:val="24"/>
          <w:szCs w:val="24"/>
          <w:lang w:val="en-US"/>
        </w:rPr>
      </w:pPr>
      <w:r w:rsidRPr="003D0D20">
        <w:rPr>
          <w:sz w:val="24"/>
          <w:szCs w:val="24"/>
          <w:lang w:val="en-US"/>
        </w:rPr>
        <w:t xml:space="preserve">Barry, Peter, </w:t>
      </w:r>
      <w:r w:rsidRPr="003D0D20">
        <w:rPr>
          <w:i/>
          <w:sz w:val="24"/>
          <w:szCs w:val="24"/>
          <w:lang w:val="en-US"/>
        </w:rPr>
        <w:t>Beginning Theory: An Introduction to Literary and Cultural Theory</w:t>
      </w:r>
      <w:r w:rsidRPr="003D0D20">
        <w:rPr>
          <w:sz w:val="24"/>
          <w:szCs w:val="24"/>
          <w:lang w:val="en-US"/>
        </w:rPr>
        <w:t>, Manchester &amp; New York: Manchester University Press, 1995, 2002, valda delar.</w:t>
      </w:r>
    </w:p>
    <w:p w14:paraId="56B45C59" w14:textId="77777777" w:rsidR="00D93D2C" w:rsidRPr="003D0D20" w:rsidRDefault="00D93D2C" w:rsidP="00D93D2C">
      <w:pPr>
        <w:pStyle w:val="Titelverst"/>
        <w:spacing w:line="240" w:lineRule="auto"/>
        <w:rPr>
          <w:sz w:val="24"/>
          <w:szCs w:val="24"/>
          <w:u w:val="single"/>
          <w:lang w:val="en-US"/>
        </w:rPr>
      </w:pPr>
    </w:p>
    <w:p w14:paraId="60479C8B" w14:textId="77777777" w:rsidR="00D93D2C" w:rsidRPr="00342353" w:rsidRDefault="00D93D2C" w:rsidP="00D93D2C">
      <w:pPr>
        <w:pStyle w:val="Titelverst"/>
        <w:spacing w:line="240" w:lineRule="auto"/>
        <w:rPr>
          <w:sz w:val="24"/>
          <w:szCs w:val="24"/>
          <w:u w:val="single"/>
        </w:rPr>
      </w:pPr>
      <w:r w:rsidRPr="00342353">
        <w:rPr>
          <w:sz w:val="24"/>
          <w:szCs w:val="24"/>
          <w:u w:val="single"/>
        </w:rPr>
        <w:t>Problemorienterade texter</w:t>
      </w:r>
    </w:p>
    <w:p w14:paraId="364D7503" w14:textId="77777777" w:rsidR="00D93D2C" w:rsidRPr="007F35AC" w:rsidRDefault="00D93D2C" w:rsidP="00D93D2C">
      <w:pPr>
        <w:rPr>
          <w:lang w:val="en-US"/>
        </w:rPr>
      </w:pPr>
      <w:r>
        <w:t xml:space="preserve">Barthes, Roland, ”Från verk till text”, i </w:t>
      </w:r>
      <w:r>
        <w:rPr>
          <w:i/>
        </w:rPr>
        <w:t>Modern litteraturteori II</w:t>
      </w:r>
      <w:r>
        <w:t>,</w:t>
      </w:r>
      <w:r>
        <w:rPr>
          <w:i/>
        </w:rPr>
        <w:t xml:space="preserve"> </w:t>
      </w:r>
      <w:r>
        <w:t xml:space="preserve">red. </w:t>
      </w:r>
      <w:r w:rsidRPr="007F35AC">
        <w:rPr>
          <w:lang w:val="en-US"/>
        </w:rPr>
        <w:t>Claes</w:t>
      </w:r>
    </w:p>
    <w:p w14:paraId="548EB8E0" w14:textId="77777777" w:rsidR="00D93D2C" w:rsidRPr="00367B6B" w:rsidRDefault="00D93D2C" w:rsidP="00D93D2C">
      <w:pPr>
        <w:ind w:firstLine="720"/>
        <w:rPr>
          <w:lang w:val="en-US"/>
        </w:rPr>
      </w:pPr>
      <w:r w:rsidRPr="00367B6B">
        <w:rPr>
          <w:lang w:val="en-US"/>
        </w:rPr>
        <w:t>Entzenberg och Cecilia Hansson, Lund: Studentlitteratur, 1991, s. 380-388</w:t>
      </w:r>
    </w:p>
    <w:p w14:paraId="0257397A" w14:textId="77777777" w:rsidR="00D93D2C" w:rsidRDefault="00D93D2C" w:rsidP="00D93D2C">
      <w:pPr>
        <w:rPr>
          <w:lang w:val="en-US"/>
        </w:rPr>
      </w:pPr>
      <w:r>
        <w:rPr>
          <w:lang w:val="en-US"/>
        </w:rPr>
        <w:t xml:space="preserve">Barthes, Roland, “The Death of the Author”, i </w:t>
      </w:r>
      <w:r>
        <w:rPr>
          <w:i/>
          <w:iCs/>
          <w:lang w:val="en-US"/>
        </w:rPr>
        <w:t>Authorship: From Plato to the Postmodern</w:t>
      </w:r>
      <w:r>
        <w:rPr>
          <w:lang w:val="en-US"/>
        </w:rPr>
        <w:t>,</w:t>
      </w:r>
    </w:p>
    <w:p w14:paraId="6744B776" w14:textId="77777777" w:rsidR="00D93D2C" w:rsidRDefault="00D93D2C" w:rsidP="00D93D2C">
      <w:pPr>
        <w:rPr>
          <w:lang w:val="en-US"/>
        </w:rPr>
      </w:pPr>
      <w:r>
        <w:rPr>
          <w:lang w:val="en-US"/>
        </w:rPr>
        <w:tab/>
        <w:t>ed. Séan Burke, Edinburgh: Edinburgh University Press, 1995, 2004, s. 125–130</w:t>
      </w:r>
    </w:p>
    <w:p w14:paraId="523F2846" w14:textId="77777777" w:rsidR="00D93D2C" w:rsidRDefault="00D93D2C" w:rsidP="00D93D2C">
      <w:r w:rsidRPr="00092BEA">
        <w:t>Beardsley, Monroe, Wimsatt,</w:t>
      </w:r>
      <w:r>
        <w:t xml:space="preserve"> William,</w:t>
      </w:r>
      <w:r w:rsidRPr="00092BEA">
        <w:t xml:space="preserve"> “Det intentionella fel</w:t>
      </w:r>
      <w:r>
        <w:t xml:space="preserve">slutet”, i </w:t>
      </w:r>
      <w:r w:rsidRPr="00FA13A4">
        <w:rPr>
          <w:i/>
          <w:iCs/>
        </w:rPr>
        <w:t>Modern litteraturteori I</w:t>
      </w:r>
      <w:r>
        <w:t>,</w:t>
      </w:r>
    </w:p>
    <w:p w14:paraId="5BF8E051" w14:textId="77777777" w:rsidR="00D93D2C" w:rsidRPr="00092BEA" w:rsidRDefault="00D93D2C" w:rsidP="00D93D2C">
      <w:pPr>
        <w:ind w:firstLine="720"/>
      </w:pPr>
      <w:r>
        <w:t xml:space="preserve"> red. </w:t>
      </w:r>
      <w:r w:rsidRPr="00092BEA">
        <w:t>Claes</w:t>
      </w:r>
      <w:r>
        <w:t xml:space="preserve"> </w:t>
      </w:r>
      <w:r w:rsidRPr="00092BEA">
        <w:t>Entzenberg och Cecilia Hansson, Lund: Studentlitteratur</w:t>
      </w:r>
      <w:r>
        <w:t>,</w:t>
      </w:r>
      <w:r w:rsidRPr="00092BEA">
        <w:t xml:space="preserve"> 1992</w:t>
      </w:r>
      <w:r>
        <w:t>, s. 115–130</w:t>
      </w:r>
    </w:p>
    <w:p w14:paraId="75C269ED" w14:textId="77777777" w:rsidR="00D93D2C" w:rsidRPr="003D0D20" w:rsidRDefault="00D93D2C" w:rsidP="00D93D2C">
      <w:pPr>
        <w:rPr>
          <w:lang w:val="en-US"/>
        </w:rPr>
      </w:pPr>
      <w:r w:rsidRPr="003D0D20">
        <w:rPr>
          <w:lang w:val="en-US"/>
        </w:rPr>
        <w:t xml:space="preserve">Bhabha, Homi K., ”Signs Taken for Wonders”, i </w:t>
      </w:r>
      <w:r w:rsidRPr="003D0D20">
        <w:rPr>
          <w:i/>
          <w:lang w:val="en-US"/>
        </w:rPr>
        <w:t>The Location of Culture</w:t>
      </w:r>
      <w:r w:rsidRPr="003D0D20">
        <w:rPr>
          <w:lang w:val="en-US"/>
        </w:rPr>
        <w:t>, London &amp; New</w:t>
      </w:r>
    </w:p>
    <w:p w14:paraId="3E669585" w14:textId="77777777" w:rsidR="00D93D2C" w:rsidRPr="003D0D20" w:rsidRDefault="00D93D2C" w:rsidP="00D93D2C">
      <w:pPr>
        <w:ind w:firstLine="720"/>
        <w:rPr>
          <w:lang w:val="en-US"/>
        </w:rPr>
      </w:pPr>
      <w:r w:rsidRPr="003D0D20">
        <w:rPr>
          <w:lang w:val="en-US"/>
        </w:rPr>
        <w:t>York: Routledge</w:t>
      </w:r>
      <w:r>
        <w:rPr>
          <w:lang w:val="en-US"/>
        </w:rPr>
        <w:t>,</w:t>
      </w:r>
      <w:r w:rsidRPr="003D0D20">
        <w:rPr>
          <w:lang w:val="en-US"/>
        </w:rPr>
        <w:t xml:space="preserve"> 1994, s. 102-122</w:t>
      </w:r>
    </w:p>
    <w:p w14:paraId="0082E2DE" w14:textId="77777777" w:rsidR="00D93D2C" w:rsidRPr="003D0D20" w:rsidRDefault="00D93D2C" w:rsidP="00D93D2C">
      <w:pPr>
        <w:rPr>
          <w:lang w:val="en-US"/>
        </w:rPr>
      </w:pPr>
      <w:r w:rsidRPr="005B4276">
        <w:rPr>
          <w:lang w:val="en-GB"/>
        </w:rPr>
        <w:t>Brooks, Peter</w:t>
      </w:r>
      <w:r>
        <w:rPr>
          <w:lang w:val="en-GB"/>
        </w:rPr>
        <w:t>,</w:t>
      </w:r>
      <w:r w:rsidRPr="005B4276">
        <w:rPr>
          <w:lang w:val="en-GB"/>
        </w:rPr>
        <w:t xml:space="preserve"> </w:t>
      </w:r>
      <w:r w:rsidRPr="005B4276">
        <w:rPr>
          <w:i/>
          <w:lang w:val="en-GB"/>
        </w:rPr>
        <w:t>Reading for the Plot: Design and Intention in Narrative</w:t>
      </w:r>
      <w:r>
        <w:rPr>
          <w:i/>
          <w:lang w:val="en-GB"/>
        </w:rPr>
        <w:t>,</w:t>
      </w:r>
      <w:r>
        <w:rPr>
          <w:lang w:val="en-GB"/>
        </w:rPr>
        <w:t xml:space="preserve"> Cambridge</w:t>
      </w:r>
    </w:p>
    <w:p w14:paraId="38460011" w14:textId="77777777" w:rsidR="00D93D2C" w:rsidRDefault="00D93D2C" w:rsidP="00D93D2C">
      <w:pPr>
        <w:ind w:firstLine="720"/>
        <w:rPr>
          <w:lang w:val="en-GB"/>
        </w:rPr>
      </w:pPr>
      <w:r>
        <w:rPr>
          <w:lang w:val="en-GB"/>
        </w:rPr>
        <w:t>Mass. &amp; London:</w:t>
      </w:r>
      <w:r>
        <w:rPr>
          <w:i/>
          <w:lang w:val="en-GB"/>
        </w:rPr>
        <w:t xml:space="preserve"> </w:t>
      </w:r>
      <w:r>
        <w:rPr>
          <w:lang w:val="en-GB"/>
        </w:rPr>
        <w:t>Harvard University Press, 1984, s. 3-61</w:t>
      </w:r>
    </w:p>
    <w:p w14:paraId="707D6677" w14:textId="77777777" w:rsidR="00D93D2C" w:rsidRDefault="00D93D2C" w:rsidP="00D93D2C">
      <w:pPr>
        <w:rPr>
          <w:lang w:val="en-GB"/>
        </w:rPr>
      </w:pPr>
      <w:r>
        <w:rPr>
          <w:lang w:val="en-GB"/>
        </w:rPr>
        <w:t xml:space="preserve">Butler, Judith, </w:t>
      </w:r>
      <w:r w:rsidRPr="00A3273F">
        <w:rPr>
          <w:i/>
          <w:lang w:val="en-GB"/>
        </w:rPr>
        <w:t>Gender Trouble</w:t>
      </w:r>
      <w:r w:rsidRPr="00A3273F">
        <w:rPr>
          <w:lang w:val="en-GB"/>
        </w:rPr>
        <w:t>,</w:t>
      </w:r>
      <w:r>
        <w:rPr>
          <w:lang w:val="en-GB"/>
        </w:rPr>
        <w:t xml:space="preserve"> London &amp; New York: Routledge, 1990, </w:t>
      </w:r>
      <w:r w:rsidRPr="00A3273F">
        <w:rPr>
          <w:lang w:val="en-GB"/>
        </w:rPr>
        <w:t xml:space="preserve"> 20</w:t>
      </w:r>
      <w:r>
        <w:rPr>
          <w:lang w:val="en-GB"/>
        </w:rPr>
        <w:t>10, s. 1-46</w:t>
      </w:r>
    </w:p>
    <w:p w14:paraId="15D0C3D1" w14:textId="77777777" w:rsidR="00D93D2C" w:rsidRPr="003D0D20" w:rsidRDefault="00D93D2C" w:rsidP="00D93D2C">
      <w:pPr>
        <w:rPr>
          <w:lang w:val="en-US"/>
        </w:rPr>
      </w:pPr>
      <w:r w:rsidRPr="003D0D20">
        <w:rPr>
          <w:lang w:val="en-US"/>
        </w:rPr>
        <w:t>Derrida, Jacques,</w:t>
      </w:r>
      <w:r>
        <w:rPr>
          <w:lang w:val="en-US"/>
        </w:rPr>
        <w:t xml:space="preserve"> </w:t>
      </w:r>
      <w:r w:rsidRPr="003D0D20">
        <w:rPr>
          <w:lang w:val="en-US"/>
        </w:rPr>
        <w:t xml:space="preserve">”…That Dangerous Supplement…”, i </w:t>
      </w:r>
      <w:r w:rsidRPr="003D0D20">
        <w:rPr>
          <w:i/>
          <w:lang w:val="en-US"/>
        </w:rPr>
        <w:t>Of Grammatology</w:t>
      </w:r>
      <w:r w:rsidRPr="003D0D20">
        <w:rPr>
          <w:lang w:val="en-US"/>
        </w:rPr>
        <w:t>, Baltimore: Johns</w:t>
      </w:r>
    </w:p>
    <w:p w14:paraId="04F4E1A7" w14:textId="77777777" w:rsidR="00D93D2C" w:rsidRDefault="00D93D2C" w:rsidP="00D93D2C">
      <w:pPr>
        <w:ind w:firstLine="720"/>
      </w:pPr>
      <w:r>
        <w:t>Hopkins University Press, 1997, s. 141-164</w:t>
      </w:r>
    </w:p>
    <w:p w14:paraId="4181640A" w14:textId="77777777" w:rsidR="00D93D2C" w:rsidRDefault="00D93D2C" w:rsidP="00D93D2C">
      <w:pPr>
        <w:rPr>
          <w:iCs/>
        </w:rPr>
      </w:pPr>
      <w:r>
        <w:t xml:space="preserve">Foucault, Michel, ”Vad är en författare?”, i </w:t>
      </w:r>
      <w:r>
        <w:rPr>
          <w:i/>
        </w:rPr>
        <w:t>Modern litteraturteori II</w:t>
      </w:r>
      <w:r>
        <w:rPr>
          <w:iCs/>
        </w:rPr>
        <w:t>, s. 330–348</w:t>
      </w:r>
    </w:p>
    <w:p w14:paraId="1BE79918" w14:textId="77777777" w:rsidR="00D93D2C" w:rsidRDefault="00D93D2C" w:rsidP="00D93D2C">
      <w:pPr>
        <w:rPr>
          <w:iCs/>
          <w:lang w:val="en-US"/>
        </w:rPr>
      </w:pPr>
      <w:r w:rsidRPr="00AD6222">
        <w:rPr>
          <w:iCs/>
          <w:lang w:val="en-US"/>
        </w:rPr>
        <w:t>Grosz, Eli</w:t>
      </w:r>
      <w:r>
        <w:rPr>
          <w:iCs/>
          <w:lang w:val="en-US"/>
        </w:rPr>
        <w:t>z</w:t>
      </w:r>
      <w:r w:rsidRPr="00AD6222">
        <w:rPr>
          <w:iCs/>
          <w:lang w:val="en-US"/>
        </w:rPr>
        <w:t>abeth,</w:t>
      </w:r>
      <w:r>
        <w:rPr>
          <w:iCs/>
          <w:lang w:val="en-US"/>
        </w:rPr>
        <w:t xml:space="preserve"> </w:t>
      </w:r>
      <w:r w:rsidRPr="00AD6222">
        <w:rPr>
          <w:iCs/>
          <w:lang w:val="en-US"/>
        </w:rPr>
        <w:t xml:space="preserve">”The Inhuman in the </w:t>
      </w:r>
      <w:r>
        <w:rPr>
          <w:iCs/>
          <w:lang w:val="en-US"/>
        </w:rPr>
        <w:t>Humanities. Darwin and the Ends of Man”, i</w:t>
      </w:r>
    </w:p>
    <w:p w14:paraId="1EE8EFCF" w14:textId="77777777" w:rsidR="00D93D2C" w:rsidRDefault="00D93D2C" w:rsidP="00D93D2C">
      <w:pPr>
        <w:rPr>
          <w:iCs/>
          <w:lang w:val="en-US"/>
        </w:rPr>
      </w:pPr>
      <w:r>
        <w:rPr>
          <w:iCs/>
          <w:lang w:val="en-US"/>
        </w:rPr>
        <w:tab/>
      </w:r>
      <w:r w:rsidRPr="00061494">
        <w:rPr>
          <w:i/>
          <w:lang w:val="en-US"/>
        </w:rPr>
        <w:t>Becoming Undone. Darwinian Reflections on Life, Politics, and Art</w:t>
      </w:r>
      <w:r>
        <w:rPr>
          <w:iCs/>
          <w:lang w:val="en-US"/>
        </w:rPr>
        <w:t>, Durham &amp;</w:t>
      </w:r>
    </w:p>
    <w:p w14:paraId="6944939D" w14:textId="77777777" w:rsidR="00D93D2C" w:rsidRPr="00AD6222" w:rsidRDefault="00D93D2C" w:rsidP="00D93D2C">
      <w:pPr>
        <w:rPr>
          <w:iCs/>
          <w:lang w:val="en-US"/>
        </w:rPr>
      </w:pPr>
      <w:r>
        <w:rPr>
          <w:iCs/>
          <w:lang w:val="en-US"/>
        </w:rPr>
        <w:tab/>
        <w:t xml:space="preserve">London: Duke University Press, 2011, s. 11–25 </w:t>
      </w:r>
    </w:p>
    <w:p w14:paraId="06DFEFD1" w14:textId="77777777" w:rsidR="00D93D2C" w:rsidRDefault="00D93D2C" w:rsidP="00D93D2C">
      <w:r>
        <w:t xml:space="preserve">Jakobson, Roman, ”Två kapitel om språket”, i </w:t>
      </w:r>
      <w:r>
        <w:rPr>
          <w:i/>
        </w:rPr>
        <w:t>Poetik &amp; Lingvistik</w:t>
      </w:r>
      <w:r>
        <w:t>, red. Kurt Aspelin och</w:t>
      </w:r>
    </w:p>
    <w:p w14:paraId="57FFC91D" w14:textId="77777777" w:rsidR="00D93D2C" w:rsidRDefault="00D93D2C" w:rsidP="00D93D2C">
      <w:pPr>
        <w:ind w:firstLine="720"/>
      </w:pPr>
      <w:r>
        <w:t xml:space="preserve"> Bengt A. Lundberg, Stockholm: Pan/Norstedts, 1974, s. 127-138</w:t>
      </w:r>
    </w:p>
    <w:p w14:paraId="0AD3537A" w14:textId="77777777" w:rsidR="00D93D2C" w:rsidRDefault="00D93D2C" w:rsidP="00D93D2C">
      <w:r>
        <w:t xml:space="preserve">Jakobson, Roman, ”Lingvistik och poetik”, i </w:t>
      </w:r>
      <w:r>
        <w:rPr>
          <w:i/>
        </w:rPr>
        <w:t>Modern litteraturteori II</w:t>
      </w:r>
      <w:r>
        <w:t>, s. 10–36</w:t>
      </w:r>
    </w:p>
    <w:p w14:paraId="68361F0C" w14:textId="77777777" w:rsidR="00D93D2C" w:rsidRPr="00A3273F" w:rsidRDefault="00D93D2C" w:rsidP="00D93D2C">
      <w:pPr>
        <w:rPr>
          <w:i/>
          <w:lang w:val="en-GB"/>
        </w:rPr>
      </w:pPr>
      <w:r w:rsidRPr="003D0D20">
        <w:rPr>
          <w:lang w:val="en-US"/>
        </w:rPr>
        <w:t xml:space="preserve">Lakoff, George, Turner, Mark, </w:t>
      </w:r>
      <w:r w:rsidRPr="003D0D20">
        <w:rPr>
          <w:i/>
          <w:lang w:val="en-US"/>
        </w:rPr>
        <w:t>More Than Cool Reason</w:t>
      </w:r>
      <w:r>
        <w:rPr>
          <w:i/>
          <w:lang w:val="en-GB"/>
        </w:rPr>
        <w:t>:</w:t>
      </w:r>
      <w:r w:rsidRPr="00A3273F">
        <w:rPr>
          <w:i/>
          <w:lang w:val="en-GB"/>
        </w:rPr>
        <w:t xml:space="preserve"> A Field Guide to Poetic</w:t>
      </w:r>
    </w:p>
    <w:p w14:paraId="7F52043E" w14:textId="77777777" w:rsidR="00D93D2C" w:rsidRDefault="00D93D2C" w:rsidP="00D93D2C">
      <w:pPr>
        <w:ind w:firstLine="720"/>
        <w:rPr>
          <w:lang w:val="en-US"/>
        </w:rPr>
      </w:pPr>
      <w:r w:rsidRPr="00A3273F">
        <w:rPr>
          <w:i/>
          <w:lang w:val="en-GB"/>
        </w:rPr>
        <w:t>Metaphor</w:t>
      </w:r>
      <w:r w:rsidRPr="003D0D20">
        <w:rPr>
          <w:lang w:val="en-US"/>
        </w:rPr>
        <w:t>, Chicago &amp; London: University of Chicago Press, 1989, s. 1-56</w:t>
      </w:r>
    </w:p>
    <w:p w14:paraId="0879CC84" w14:textId="77777777" w:rsidR="00D93D2C" w:rsidRDefault="00D93D2C" w:rsidP="00D93D2C">
      <w:pPr>
        <w:rPr>
          <w:lang w:val="en-GB"/>
        </w:rPr>
      </w:pPr>
      <w:r>
        <w:rPr>
          <w:lang w:val="en-GB"/>
        </w:rPr>
        <w:t xml:space="preserve">Moi, Toril, </w:t>
      </w:r>
      <w:r>
        <w:rPr>
          <w:i/>
          <w:lang w:val="en-GB"/>
        </w:rPr>
        <w:t>Textual/Sexual Politics: Feminist Literary Theory</w:t>
      </w:r>
      <w:r>
        <w:rPr>
          <w:lang w:val="en-GB"/>
        </w:rPr>
        <w:t>, London &amp; New York:</w:t>
      </w:r>
    </w:p>
    <w:p w14:paraId="43A79F85" w14:textId="77777777" w:rsidR="00D93D2C" w:rsidRDefault="00D93D2C" w:rsidP="00D93D2C">
      <w:pPr>
        <w:ind w:firstLine="720"/>
        <w:rPr>
          <w:lang w:val="en-GB"/>
        </w:rPr>
      </w:pPr>
      <w:r>
        <w:rPr>
          <w:lang w:val="en-GB"/>
        </w:rPr>
        <w:t>Routledge, 1985, 2002, s. 1-18</w:t>
      </w:r>
    </w:p>
    <w:p w14:paraId="109F9AAB" w14:textId="77777777" w:rsidR="00D93D2C" w:rsidRDefault="00D93D2C" w:rsidP="00D93D2C">
      <w:pPr>
        <w:rPr>
          <w:lang w:val="en-GB"/>
        </w:rPr>
      </w:pPr>
      <w:r>
        <w:rPr>
          <w:lang w:val="en-GB"/>
        </w:rPr>
        <w:t xml:space="preserve">Saïd, Edward W., </w:t>
      </w:r>
      <w:r>
        <w:rPr>
          <w:i/>
          <w:lang w:val="en-GB"/>
        </w:rPr>
        <w:t>Orientalism</w:t>
      </w:r>
      <w:r>
        <w:rPr>
          <w:lang w:val="en-GB"/>
        </w:rPr>
        <w:t>, London: Routledge, 1978, s. 9-27 (“Introduction”)</w:t>
      </w:r>
    </w:p>
    <w:p w14:paraId="55FD546E" w14:textId="77777777" w:rsidR="00D93D2C" w:rsidRPr="00092BEA" w:rsidRDefault="00D93D2C" w:rsidP="00D93D2C">
      <w:r w:rsidRPr="00092BEA">
        <w:t>Sklo</w:t>
      </w:r>
      <w:r>
        <w:t xml:space="preserve">vskij, Viktor, ”Konsten som grepp”, i </w:t>
      </w:r>
      <w:r w:rsidRPr="00FA13A4">
        <w:rPr>
          <w:i/>
          <w:iCs/>
        </w:rPr>
        <w:t>Modern litteraturteori I</w:t>
      </w:r>
      <w:r>
        <w:t>, s. 15–31</w:t>
      </w:r>
    </w:p>
    <w:p w14:paraId="729CF6A5" w14:textId="77777777" w:rsidR="00D93D2C" w:rsidRPr="00FA13A4" w:rsidRDefault="00D93D2C" w:rsidP="00D93D2C">
      <w:r w:rsidRPr="00FA13A4">
        <w:t>Tomasjevskij, Boris, “Litteratur och biografi”, i</w:t>
      </w:r>
      <w:r>
        <w:t xml:space="preserve"> </w:t>
      </w:r>
      <w:r w:rsidRPr="00FA13A4">
        <w:rPr>
          <w:i/>
          <w:iCs/>
        </w:rPr>
        <w:t>Modern litteraturteori I</w:t>
      </w:r>
      <w:r>
        <w:t xml:space="preserve">, </w:t>
      </w:r>
      <w:r w:rsidRPr="00092BEA">
        <w:t>s. 32–40</w:t>
      </w:r>
      <w:r>
        <w:t>.</w:t>
      </w:r>
    </w:p>
    <w:p w14:paraId="0AAF0D5C" w14:textId="77777777" w:rsidR="00D93D2C" w:rsidRPr="00FA13A4" w:rsidRDefault="00D93D2C" w:rsidP="00D93D2C">
      <w:pPr>
        <w:ind w:firstLine="1304"/>
      </w:pPr>
    </w:p>
    <w:p w14:paraId="78A027CF" w14:textId="77777777" w:rsidR="00D93D2C" w:rsidRPr="00FA13A4" w:rsidRDefault="00D93D2C" w:rsidP="00D93D2C">
      <w:pPr>
        <w:ind w:firstLine="1304"/>
      </w:pPr>
    </w:p>
    <w:p w14:paraId="3324228A" w14:textId="77777777" w:rsidR="00D93D2C" w:rsidRPr="00FA13A4" w:rsidRDefault="00D93D2C" w:rsidP="00D93D2C">
      <w:pPr>
        <w:ind w:firstLine="1304"/>
      </w:pPr>
      <w:r w:rsidRPr="00FA13A4">
        <w:tab/>
      </w:r>
      <w:r w:rsidRPr="00FA13A4">
        <w:tab/>
      </w:r>
      <w:r w:rsidRPr="00FA13A4">
        <w:tab/>
      </w:r>
      <w:r w:rsidRPr="00FA13A4">
        <w:tab/>
      </w:r>
      <w:r w:rsidRPr="00FA13A4">
        <w:tab/>
      </w:r>
      <w:r w:rsidRPr="00FA13A4">
        <w:tab/>
      </w:r>
      <w:r w:rsidRPr="00FA13A4">
        <w:tab/>
      </w:r>
      <w:r w:rsidRPr="00FA13A4">
        <w:tab/>
      </w:r>
    </w:p>
    <w:p w14:paraId="0C4DE92B" w14:textId="77777777" w:rsidR="00D93D2C" w:rsidRPr="00FA13A4" w:rsidRDefault="00D93D2C" w:rsidP="00D93D2C">
      <w:pPr>
        <w:ind w:left="612" w:hanging="612"/>
      </w:pPr>
    </w:p>
    <w:p w14:paraId="23F6D2B7" w14:textId="77777777" w:rsidR="00D93D2C" w:rsidRDefault="00D93D2C" w:rsidP="00D93D2C">
      <w:pPr>
        <w:ind w:left="612" w:hanging="612"/>
      </w:pPr>
    </w:p>
    <w:p w14:paraId="4EFE83E1" w14:textId="77777777" w:rsidR="00D93D2C" w:rsidRDefault="00D93D2C" w:rsidP="00D93D2C">
      <w:pPr>
        <w:ind w:left="612" w:hanging="612"/>
      </w:pPr>
    </w:p>
    <w:p w14:paraId="22CB0E8B" w14:textId="5E939C84" w:rsidR="00D93D2C" w:rsidRDefault="00D93D2C" w:rsidP="000636F7"/>
    <w:p w14:paraId="62F9A8FC" w14:textId="77777777" w:rsidR="00D93D2C" w:rsidRDefault="00D93D2C" w:rsidP="00D93D2C"/>
    <w:p w14:paraId="1ED4B81F" w14:textId="77777777" w:rsidR="00D93D2C" w:rsidRDefault="00D93D2C" w:rsidP="00D93D2C"/>
    <w:p w14:paraId="72B7C630" w14:textId="77777777" w:rsidR="00D93D2C" w:rsidRDefault="00D93D2C"/>
    <w:sectPr w:rsidR="00D93D2C" w:rsidSect="005A273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2C"/>
    <w:rsid w:val="000636F7"/>
    <w:rsid w:val="000F12BC"/>
    <w:rsid w:val="00AC7D18"/>
    <w:rsid w:val="00D93D2C"/>
    <w:rsid w:val="00D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3DAA"/>
  <w15:chartTrackingRefBased/>
  <w15:docId w15:val="{3C2CD3DC-D59F-7648-B9EF-7A451A4B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D2C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verst">
    <w:name w:val="Titel överst"/>
    <w:basedOn w:val="Normal"/>
    <w:qFormat/>
    <w:rsid w:val="00D93D2C"/>
    <w:pPr>
      <w:spacing w:after="120" w:line="360" w:lineRule="exact"/>
      <w:jc w:val="both"/>
    </w:pPr>
    <w:rPr>
      <w:rFonts w:ascii="Times" w:hAnsi="Times"/>
      <w:noProof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Rasmus Carlsson</cp:lastModifiedBy>
  <cp:revision>3</cp:revision>
  <dcterms:created xsi:type="dcterms:W3CDTF">2020-12-09T13:58:00Z</dcterms:created>
  <dcterms:modified xsi:type="dcterms:W3CDTF">2020-12-09T14:51:00Z</dcterms:modified>
</cp:coreProperties>
</file>