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0CCA" w:rsidRPr="00E10CCA" w:rsidRDefault="00E10CCA" w:rsidP="00E10CCA">
      <w:pPr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 New Roman" w:eastAsia="Times New Roman" w:hAnsi="Times New Roman" w:cs="Times New Roman"/>
          <w:lang w:eastAsia="sv-SE"/>
        </w:rPr>
        <w:fldChar w:fldCharType="begin"/>
      </w:r>
      <w:r w:rsidR="00121D8E">
        <w:rPr>
          <w:rFonts w:ascii="Times New Roman" w:eastAsia="Times New Roman" w:hAnsi="Times New Roman" w:cs="Times New Roman"/>
          <w:lang w:eastAsia="sv-SE"/>
        </w:rPr>
        <w:instrText xml:space="preserve"> INCLUDEPICTURE "C:\\var\\folders\\qz\\q9tbq5g946s6b4w2_3tncplwzyx79f\\T\\com.microsoft.Word\\WebArchiveCopyPasteTempFiles\\page1image392" \* MERGEFORMAT </w:instrText>
      </w:r>
      <w:r w:rsidRPr="00E10CCA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E10CCA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>
            <wp:extent cx="967105" cy="1204595"/>
            <wp:effectExtent l="0" t="0" r="0" b="1905"/>
            <wp:docPr id="1" name="Bildobjekt 1" descr="page1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CCA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" w:eastAsia="Times New Roman" w:hAnsi="TimesNewRomanPS" w:cs="Times New Roman"/>
          <w:b/>
          <w:bCs/>
          <w:sz w:val="28"/>
          <w:szCs w:val="28"/>
          <w:lang w:eastAsia="sv-SE"/>
        </w:rPr>
        <w:t xml:space="preserve">Lunds universitet </w:t>
      </w:r>
      <w:r>
        <w:rPr>
          <w:rFonts w:ascii="TimesNewRomanPS" w:eastAsia="Times New Roman" w:hAnsi="TimesNewRomanPS" w:cs="Times New Roman"/>
          <w:b/>
          <w:bCs/>
          <w:lang w:eastAsia="sv-SE"/>
        </w:rPr>
        <w:t>H</w:t>
      </w:r>
      <w:r w:rsidRPr="00E10CCA">
        <w:rPr>
          <w:rFonts w:ascii="TimesNewRomanPS" w:eastAsia="Times New Roman" w:hAnsi="TimesNewRomanPS" w:cs="Times New Roman"/>
          <w:b/>
          <w:bCs/>
          <w:lang w:eastAsia="sv-SE"/>
        </w:rPr>
        <w:t>T 2019 Språk- och litteraturcentrum</w:t>
      </w:r>
      <w:r w:rsidRPr="00E10CCA">
        <w:rPr>
          <w:rFonts w:ascii="TimesNewRomanPS" w:eastAsia="Times New Roman" w:hAnsi="TimesNewRomanPS" w:cs="Times New Roman"/>
          <w:b/>
          <w:bCs/>
          <w:lang w:eastAsia="sv-SE"/>
        </w:rPr>
        <w:br/>
        <w:t>Litteraturvetenskap</w:t>
      </w:r>
      <w:r w:rsidRPr="00E10CCA">
        <w:rPr>
          <w:rFonts w:ascii="TimesNewRomanPS" w:eastAsia="Times New Roman" w:hAnsi="TimesNewRomanPS" w:cs="Times New Roman"/>
          <w:b/>
          <w:bCs/>
          <w:lang w:eastAsia="sv-SE"/>
        </w:rPr>
        <w:br/>
        <w:t xml:space="preserve">LIVK10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" w:eastAsia="Times New Roman" w:hAnsi="TimesNewRomanPS" w:cs="Times New Roman"/>
          <w:b/>
          <w:bCs/>
          <w:lang w:eastAsia="sv-SE"/>
        </w:rPr>
        <w:t xml:space="preserve">Delkurs 1: Litteraturteoretisk och metodisk tillämpning, 7,5 högskolepoäng </w:t>
      </w:r>
    </w:p>
    <w:p w:rsidR="00E10CCA" w:rsidRPr="00C56079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lang w:val="en-US" w:eastAsia="sv-SE"/>
        </w:rPr>
      </w:pPr>
      <w:r w:rsidRPr="00C56079">
        <w:rPr>
          <w:rFonts w:ascii="TimesNewRomanPSMT" w:eastAsia="Times New Roman" w:hAnsi="TimesNewRomanPSMT" w:cs="TimesNewRomanPSMT"/>
          <w:i/>
          <w:lang w:val="en-US" w:eastAsia="sv-SE"/>
        </w:rPr>
        <w:t xml:space="preserve">Översiktsverk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Barry, Peter,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Beginning Theory: An Introduction to Literary and Cultural Theory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Manchester &amp; New York: Manchester University Press, 1995, 2002, valda delar. </w:t>
      </w:r>
    </w:p>
    <w:p w:rsidR="00E10CCA" w:rsidRPr="00C56079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lang w:eastAsia="sv-SE"/>
        </w:rPr>
      </w:pPr>
      <w:r w:rsidRPr="00C56079">
        <w:rPr>
          <w:rFonts w:ascii="TimesNewRomanPSMT" w:eastAsia="Times New Roman" w:hAnsi="TimesNewRomanPSMT" w:cs="TimesNewRomanPSMT"/>
          <w:i/>
          <w:lang w:eastAsia="sv-SE"/>
        </w:rPr>
        <w:t xml:space="preserve">Problemorienterade texter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eastAsia="sv-SE"/>
        </w:rPr>
        <w:t xml:space="preserve">Barthes, Roland, ”Från verk till text”, i </w:t>
      </w:r>
      <w:r w:rsidRPr="00E10CCA">
        <w:rPr>
          <w:rFonts w:ascii="TimesNewRomanPS" w:eastAsia="Times New Roman" w:hAnsi="TimesNewRomanPS" w:cs="Times New Roman"/>
          <w:i/>
          <w:iCs/>
          <w:lang w:eastAsia="sv-SE"/>
        </w:rPr>
        <w:t>Modern litteraturteori II</w:t>
      </w:r>
      <w:r w:rsidRPr="00E10CCA">
        <w:rPr>
          <w:rFonts w:ascii="TimesNewRomanPSMT" w:eastAsia="Times New Roman" w:hAnsi="TimesNewRomanPSMT" w:cs="TimesNewRomanPSMT"/>
          <w:lang w:eastAsia="sv-SE"/>
        </w:rPr>
        <w:t xml:space="preserve">, red. 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Claes Entzenberg och Cecilia Hansson, Lund: Studentlitteratur 1991, s. 380-388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Bhabha, Homi K., ”Signs Taken for Wonders”, i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The Location of Culture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London &amp; New York: Routledge 1994, s. 102-122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Braidotti, Rosi,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The Posthuman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Cambridge &amp; Malden: Polity Press 2013, s. 13-104 Brooks, Peter,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Reading for the Plot: Design and Intention in Narrative, 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Cambridge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t>Mass. &amp; London: Harvard University Press, 1984, s. 3-61, 90–112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br/>
        <w:t xml:space="preserve">Butler, Judith,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Gender Trouble 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(1990), London &amp; New York: Routledge 2010, s. 1-46 Derrida, Jacques, ”...That Dangerous Supplement...”, i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Of Grammatology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Baltimore: Johns </w:t>
      </w:r>
    </w:p>
    <w:p w:rsidR="00E10CCA" w:rsidRPr="00C56079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t>Hopkins University Press 1997, s. 141-164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br/>
        <w:t xml:space="preserve">Freud, Sigmund,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Drömtydning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övers. </w:t>
      </w:r>
      <w:r w:rsidRPr="00C56079">
        <w:rPr>
          <w:rFonts w:ascii="TimesNewRomanPSMT" w:eastAsia="Times New Roman" w:hAnsi="TimesNewRomanPSMT" w:cs="TimesNewRomanPSMT"/>
          <w:lang w:eastAsia="sv-SE"/>
        </w:rPr>
        <w:t xml:space="preserve">John Landquist och Mia Engvén, Stockholm: Natur och </w:t>
      </w:r>
    </w:p>
    <w:p w:rsidR="00E10CCA" w:rsidRPr="00C56079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C56079">
        <w:rPr>
          <w:rFonts w:ascii="TimesNewRomanPSMT" w:eastAsia="Times New Roman" w:hAnsi="TimesNewRomanPSMT" w:cs="TimesNewRomanPSMT"/>
          <w:lang w:eastAsia="sv-SE"/>
        </w:rPr>
        <w:t>Kultur 2002, s. 272–288, 295–298</w:t>
      </w:r>
      <w:r w:rsidRPr="00C56079">
        <w:rPr>
          <w:rFonts w:ascii="TimesNewRomanPSMT" w:eastAsia="Times New Roman" w:hAnsi="TimesNewRomanPSMT" w:cs="TimesNewRomanPSMT"/>
          <w:lang w:eastAsia="sv-SE"/>
        </w:rPr>
        <w:br/>
        <w:t xml:space="preserve">Jakobson, Roman, ”Två kapitel om språket”, i Roman Jakobson, </w:t>
      </w:r>
      <w:r w:rsidRPr="00C56079">
        <w:rPr>
          <w:rFonts w:ascii="TimesNewRomanPS" w:eastAsia="Times New Roman" w:hAnsi="TimesNewRomanPS" w:cs="Times New Roman"/>
          <w:i/>
          <w:iCs/>
          <w:lang w:eastAsia="sv-SE"/>
        </w:rPr>
        <w:t>Poetik &amp; Lingvistik</w:t>
      </w:r>
      <w:r w:rsidRPr="00C56079">
        <w:rPr>
          <w:rFonts w:ascii="TimesNewRomanPSMT" w:eastAsia="Times New Roman" w:hAnsi="TimesNewRomanPSMT" w:cs="TimesNewRomanPSMT"/>
          <w:lang w:eastAsia="sv-SE"/>
        </w:rPr>
        <w:t xml:space="preserve">, red.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MT" w:eastAsia="Times New Roman" w:hAnsi="TimesNewRomanPSMT" w:cs="TimesNewRomanPSMT"/>
          <w:lang w:eastAsia="sv-SE"/>
        </w:rPr>
        <w:t xml:space="preserve">Kurt Aspelin och Bengt A. Lundberg, Stockholm: Pan/Norstedts 1974, s. 127- 138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MT" w:eastAsia="Times New Roman" w:hAnsi="TimesNewRomanPSMT" w:cs="TimesNewRomanPSMT"/>
          <w:lang w:eastAsia="sv-SE"/>
        </w:rPr>
        <w:t xml:space="preserve">Jakobson, Roman, ”Lingvistik och poetik”, i </w:t>
      </w:r>
      <w:r w:rsidRPr="00E10CCA">
        <w:rPr>
          <w:rFonts w:ascii="TimesNewRomanPS" w:eastAsia="Times New Roman" w:hAnsi="TimesNewRomanPS" w:cs="Times New Roman"/>
          <w:i/>
          <w:iCs/>
          <w:lang w:eastAsia="sv-SE"/>
        </w:rPr>
        <w:t>Modern litteraturteori II</w:t>
      </w:r>
      <w:r w:rsidRPr="00E10CCA">
        <w:rPr>
          <w:rFonts w:ascii="TimesNewRomanPSMT" w:eastAsia="Times New Roman" w:hAnsi="TimesNewRomanPSMT" w:cs="TimesNewRomanPSMT"/>
          <w:lang w:eastAsia="sv-SE"/>
        </w:rPr>
        <w:t>, s. 10–36</w:t>
      </w:r>
      <w:r w:rsidRPr="00E10CCA">
        <w:rPr>
          <w:rFonts w:ascii="TimesNewRomanPSMT" w:eastAsia="Times New Roman" w:hAnsi="TimesNewRomanPSMT" w:cs="TimesNewRomanPSMT"/>
          <w:lang w:eastAsia="sv-SE"/>
        </w:rPr>
        <w:br/>
        <w:t xml:space="preserve">Kristeva, Julia, ”Det semiotiska och det symboliska”, i </w:t>
      </w:r>
      <w:r w:rsidRPr="00E10CCA">
        <w:rPr>
          <w:rFonts w:ascii="TimesNewRomanPS" w:eastAsia="Times New Roman" w:hAnsi="TimesNewRomanPS" w:cs="Times New Roman"/>
          <w:i/>
          <w:iCs/>
          <w:lang w:eastAsia="sv-SE"/>
        </w:rPr>
        <w:t>Modern litteraturteori II</w:t>
      </w:r>
      <w:r w:rsidRPr="00E10CCA">
        <w:rPr>
          <w:rFonts w:ascii="TimesNewRomanPSMT" w:eastAsia="Times New Roman" w:hAnsi="TimesNewRomanPSMT" w:cs="TimesNewRomanPSMT"/>
          <w:lang w:eastAsia="sv-SE"/>
        </w:rPr>
        <w:t xml:space="preserve">, s. 287–321 Lakoff, George, Turner, Mark, </w:t>
      </w:r>
      <w:r w:rsidRPr="00E10CCA">
        <w:rPr>
          <w:rFonts w:ascii="TimesNewRomanPS" w:eastAsia="Times New Roman" w:hAnsi="TimesNewRomanPS" w:cs="Times New Roman"/>
          <w:i/>
          <w:iCs/>
          <w:lang w:eastAsia="sv-SE"/>
        </w:rPr>
        <w:t xml:space="preserve">More Than Cool Reason: A Field Guide to Poetic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Metaphor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Chicago &amp; London: University of Chicago Press, 1989, s. 1-56 Moi, Toril,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 xml:space="preserve">Textual/Sexual Politics: Feminist Literary Theory 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(1985), London &amp; New York: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/>
        </w:rPr>
      </w:pPr>
      <w:r w:rsidRPr="00E10CCA">
        <w:rPr>
          <w:rFonts w:ascii="TimesNewRomanPSMT" w:eastAsia="Times New Roman" w:hAnsi="TimesNewRomanPSMT" w:cs="TimesNewRomanPSMT"/>
          <w:lang w:val="en-US" w:eastAsia="sv-SE"/>
        </w:rPr>
        <w:lastRenderedPageBreak/>
        <w:t>Routledge 2002, s. 1-18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br/>
        <w:t>Sa</w:t>
      </w:r>
      <w:r w:rsidR="00446532">
        <w:rPr>
          <w:rFonts w:ascii="TimesNewRomanPSMT" w:eastAsia="Times New Roman" w:hAnsi="TimesNewRomanPSMT" w:cs="TimesNewRomanPSMT"/>
          <w:lang w:val="en-US" w:eastAsia="sv-SE"/>
        </w:rPr>
        <w:t>i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d, Edward W., </w:t>
      </w:r>
      <w:r w:rsidRPr="00E10CCA">
        <w:rPr>
          <w:rFonts w:ascii="TimesNewRomanPS" w:eastAsia="Times New Roman" w:hAnsi="TimesNewRomanPS" w:cs="Times New Roman"/>
          <w:i/>
          <w:iCs/>
          <w:lang w:val="en-US" w:eastAsia="sv-SE"/>
        </w:rPr>
        <w:t>Orientalism</w:t>
      </w:r>
      <w:r w:rsidRPr="00E10CCA">
        <w:rPr>
          <w:rFonts w:ascii="TimesNewRomanPSMT" w:eastAsia="Times New Roman" w:hAnsi="TimesNewRomanPSMT" w:cs="TimesNewRomanPSMT"/>
          <w:lang w:val="en-US" w:eastAsia="sv-SE"/>
        </w:rPr>
        <w:t xml:space="preserve">, London: Routledge 1978, s. 9-27 (“Introduction”). </w:t>
      </w:r>
    </w:p>
    <w:p w:rsidR="00E10CCA" w:rsidRPr="00E10CCA" w:rsidRDefault="00E10CCA" w:rsidP="00E10C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E10CCA">
        <w:rPr>
          <w:rFonts w:ascii="TimesNewRomanPSMT" w:eastAsia="Times New Roman" w:hAnsi="TimesNewRomanPSMT" w:cs="TimesNewRomanPSMT"/>
          <w:lang w:eastAsia="sv-SE"/>
        </w:rPr>
        <w:t xml:space="preserve">Rikard Schönström </w:t>
      </w:r>
    </w:p>
    <w:p w:rsidR="002A26BF" w:rsidRDefault="00121D8E"/>
    <w:sectPr w:rsidR="002A26BF" w:rsidSect="009373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CA"/>
    <w:rsid w:val="00121D8E"/>
    <w:rsid w:val="002241E0"/>
    <w:rsid w:val="00324247"/>
    <w:rsid w:val="00446532"/>
    <w:rsid w:val="008622C4"/>
    <w:rsid w:val="00937309"/>
    <w:rsid w:val="00C56079"/>
    <w:rsid w:val="00E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CFD5B15-72FC-314D-B140-00276964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0C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Helena Nilsson</cp:lastModifiedBy>
  <cp:revision>2</cp:revision>
  <dcterms:created xsi:type="dcterms:W3CDTF">2019-06-10T11:03:00Z</dcterms:created>
  <dcterms:modified xsi:type="dcterms:W3CDTF">2019-06-10T11:03:00Z</dcterms:modified>
</cp:coreProperties>
</file>