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8C59" w14:textId="77777777" w:rsidR="0003452B" w:rsidRPr="00470928" w:rsidRDefault="00694A89">
      <w:pPr>
        <w:rPr>
          <w:rFonts w:ascii="Baskerville" w:hAnsi="Baskerville"/>
          <w:sz w:val="32"/>
          <w:szCs w:val="32"/>
        </w:rPr>
      </w:pPr>
      <w:bookmarkStart w:id="0" w:name="_GoBack"/>
      <w:bookmarkEnd w:id="0"/>
      <w:r w:rsidRPr="00470928">
        <w:rPr>
          <w:rFonts w:ascii="Baskerville" w:hAnsi="Baskerville"/>
          <w:sz w:val="32"/>
          <w:szCs w:val="32"/>
        </w:rPr>
        <w:t>LIVA25:1. Bar</w:t>
      </w:r>
      <w:r w:rsidR="00470928">
        <w:rPr>
          <w:rFonts w:ascii="Baskerville" w:hAnsi="Baskerville"/>
          <w:sz w:val="32"/>
          <w:szCs w:val="32"/>
        </w:rPr>
        <w:t>nlitteraturteori (7,5p)</w:t>
      </w:r>
      <w:r w:rsidR="00470928">
        <w:rPr>
          <w:rFonts w:ascii="Baskerville" w:hAnsi="Baskerville"/>
          <w:sz w:val="32"/>
          <w:szCs w:val="32"/>
        </w:rPr>
        <w:tab/>
      </w:r>
      <w:r w:rsidR="00470928">
        <w:rPr>
          <w:rFonts w:ascii="Baskerville" w:hAnsi="Baskerville"/>
          <w:sz w:val="32"/>
          <w:szCs w:val="32"/>
        </w:rPr>
        <w:tab/>
      </w:r>
      <w:r w:rsidR="00470928">
        <w:rPr>
          <w:rFonts w:ascii="Baskerville" w:hAnsi="Baskerville"/>
          <w:sz w:val="32"/>
          <w:szCs w:val="32"/>
        </w:rPr>
        <w:tab/>
      </w:r>
      <w:r w:rsidR="00470928" w:rsidRPr="00470928">
        <w:rPr>
          <w:rFonts w:ascii="Baskerville" w:hAnsi="Baskerville"/>
          <w:sz w:val="32"/>
          <w:szCs w:val="32"/>
        </w:rPr>
        <w:t>v</w:t>
      </w:r>
      <w:r w:rsidRPr="00470928">
        <w:rPr>
          <w:rFonts w:ascii="Baskerville" w:hAnsi="Baskerville"/>
          <w:sz w:val="32"/>
          <w:szCs w:val="32"/>
        </w:rPr>
        <w:t>t17</w:t>
      </w:r>
    </w:p>
    <w:p w14:paraId="7C63F491" w14:textId="77777777" w:rsidR="00470928" w:rsidRDefault="00470928">
      <w:pPr>
        <w:rPr>
          <w:rFonts w:ascii="Baskerville" w:hAnsi="Baskerville"/>
        </w:rPr>
      </w:pPr>
    </w:p>
    <w:p w14:paraId="21AA4E65" w14:textId="77777777" w:rsidR="00470928" w:rsidRDefault="00470928">
      <w:pPr>
        <w:rPr>
          <w:rFonts w:ascii="Baskerville" w:hAnsi="Baskerville"/>
        </w:rPr>
      </w:pPr>
    </w:p>
    <w:p w14:paraId="1D8E4BF0" w14:textId="77777777" w:rsidR="00470928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 xml:space="preserve">Lärare: </w:t>
      </w:r>
    </w:p>
    <w:p w14:paraId="77040875" w14:textId="5FB76452" w:rsidR="00470928" w:rsidRPr="00885DD1" w:rsidRDefault="00470928">
      <w:pPr>
        <w:rPr>
          <w:rFonts w:ascii="Baskerville" w:hAnsi="Baskerville"/>
          <w:lang w:val="en-US"/>
        </w:rPr>
      </w:pPr>
      <w:r w:rsidRPr="00885DD1">
        <w:rPr>
          <w:rFonts w:ascii="Baskerville" w:hAnsi="Baskerville"/>
          <w:lang w:val="en-US"/>
        </w:rPr>
        <w:t>Oscar Jansson (</w:t>
      </w:r>
      <w:r w:rsidR="00885DD1">
        <w:fldChar w:fldCharType="begin"/>
      </w:r>
      <w:r w:rsidR="00885DD1" w:rsidRPr="00885DD1">
        <w:rPr>
          <w:lang w:val="en-US"/>
        </w:rPr>
        <w:instrText xml:space="preserve"> HYPERLINK "mailto:oscar.jansson@litt.lu.se" </w:instrText>
      </w:r>
      <w:r w:rsidR="00885DD1">
        <w:fldChar w:fldCharType="separate"/>
      </w:r>
      <w:r w:rsidRPr="00885DD1">
        <w:rPr>
          <w:rStyle w:val="Hyperlnk"/>
          <w:rFonts w:ascii="Baskerville" w:hAnsi="Baskerville"/>
          <w:lang w:val="en-US"/>
        </w:rPr>
        <w:t>oscar.jansson@litt.lu.se</w:t>
      </w:r>
      <w:r w:rsidR="00885DD1">
        <w:rPr>
          <w:rStyle w:val="Hyperlnk"/>
          <w:rFonts w:ascii="Baskerville" w:hAnsi="Baskerville"/>
        </w:rPr>
        <w:fldChar w:fldCharType="end"/>
      </w:r>
      <w:r w:rsidRPr="00885DD1">
        <w:rPr>
          <w:rFonts w:ascii="Baskerville" w:hAnsi="Baskerville"/>
          <w:lang w:val="en-US"/>
        </w:rPr>
        <w:t>)</w:t>
      </w:r>
      <w:r w:rsidR="00A759AF" w:rsidRPr="00885DD1">
        <w:rPr>
          <w:rFonts w:ascii="Baskerville" w:hAnsi="Baskerville"/>
          <w:lang w:val="en-US"/>
        </w:rPr>
        <w:t xml:space="preserve"> (OJ)</w:t>
      </w:r>
    </w:p>
    <w:p w14:paraId="70C55B46" w14:textId="57DA3BDB" w:rsidR="00470928" w:rsidRPr="00885DD1" w:rsidRDefault="00470928">
      <w:pPr>
        <w:rPr>
          <w:rFonts w:ascii="Baskerville" w:hAnsi="Baskerville"/>
          <w:lang w:val="en-US"/>
        </w:rPr>
      </w:pPr>
      <w:r w:rsidRPr="00885DD1">
        <w:rPr>
          <w:rFonts w:ascii="Baskerville" w:hAnsi="Baskerville"/>
          <w:lang w:val="en-US"/>
        </w:rPr>
        <w:t>Victor Malm (</w:t>
      </w:r>
      <w:r w:rsidR="00885DD1">
        <w:fldChar w:fldCharType="begin"/>
      </w:r>
      <w:r w:rsidR="00885DD1" w:rsidRPr="00885DD1">
        <w:rPr>
          <w:lang w:val="en-US"/>
        </w:rPr>
        <w:instrText xml:space="preserve"> HYPERLINK "mailto:victor.malm@litt.lu.se" </w:instrText>
      </w:r>
      <w:r w:rsidR="00885DD1">
        <w:fldChar w:fldCharType="separate"/>
      </w:r>
      <w:r w:rsidRPr="00885DD1">
        <w:rPr>
          <w:rStyle w:val="Hyperlnk"/>
          <w:rFonts w:ascii="Baskerville" w:hAnsi="Baskerville"/>
          <w:lang w:val="en-US"/>
        </w:rPr>
        <w:t>victor.malm@litt.lu.se</w:t>
      </w:r>
      <w:r w:rsidR="00885DD1">
        <w:rPr>
          <w:rStyle w:val="Hyperlnk"/>
          <w:rFonts w:ascii="Baskerville" w:hAnsi="Baskerville"/>
        </w:rPr>
        <w:fldChar w:fldCharType="end"/>
      </w:r>
      <w:r w:rsidRPr="00885DD1">
        <w:rPr>
          <w:rFonts w:ascii="Baskerville" w:hAnsi="Baskerville"/>
          <w:lang w:val="en-US"/>
        </w:rPr>
        <w:t>)</w:t>
      </w:r>
      <w:r w:rsidR="00A759AF" w:rsidRPr="00885DD1">
        <w:rPr>
          <w:rFonts w:ascii="Baskerville" w:hAnsi="Baskerville"/>
          <w:lang w:val="en-US"/>
        </w:rPr>
        <w:t xml:space="preserve"> (VM)</w:t>
      </w:r>
    </w:p>
    <w:p w14:paraId="5E4B867D" w14:textId="199077DB" w:rsidR="00470928" w:rsidRPr="00885DD1" w:rsidRDefault="00470928">
      <w:pPr>
        <w:rPr>
          <w:rFonts w:ascii="Baskerville" w:hAnsi="Baskerville"/>
          <w:lang w:val="en-US"/>
        </w:rPr>
      </w:pPr>
      <w:r w:rsidRPr="00885DD1">
        <w:rPr>
          <w:rFonts w:ascii="Baskerville" w:hAnsi="Baskerville"/>
          <w:lang w:val="en-US"/>
        </w:rPr>
        <w:t>Paul Tenngart (</w:t>
      </w:r>
      <w:r w:rsidR="00885DD1">
        <w:fldChar w:fldCharType="begin"/>
      </w:r>
      <w:r w:rsidR="00885DD1" w:rsidRPr="00885DD1">
        <w:rPr>
          <w:lang w:val="en-US"/>
        </w:rPr>
        <w:instrText xml:space="preserve"> HYPERLINK "mailto:paul.tenngart@litt.lu.se" </w:instrText>
      </w:r>
      <w:r w:rsidR="00885DD1">
        <w:fldChar w:fldCharType="separate"/>
      </w:r>
      <w:r w:rsidRPr="00885DD1">
        <w:rPr>
          <w:rStyle w:val="Hyperlnk"/>
          <w:rFonts w:ascii="Baskerville" w:hAnsi="Baskerville"/>
          <w:lang w:val="en-US"/>
        </w:rPr>
        <w:t>paul.tenngart@litt.lu.se</w:t>
      </w:r>
      <w:r w:rsidR="00885DD1">
        <w:rPr>
          <w:rStyle w:val="Hyperlnk"/>
          <w:rFonts w:ascii="Baskerville" w:hAnsi="Baskerville"/>
        </w:rPr>
        <w:fldChar w:fldCharType="end"/>
      </w:r>
      <w:r w:rsidRPr="00885DD1">
        <w:rPr>
          <w:rFonts w:ascii="Baskerville" w:hAnsi="Baskerville"/>
          <w:lang w:val="en-US"/>
        </w:rPr>
        <w:t>)</w:t>
      </w:r>
      <w:r w:rsidR="00A759AF" w:rsidRPr="00885DD1">
        <w:rPr>
          <w:rFonts w:ascii="Baskerville" w:hAnsi="Baskerville"/>
          <w:lang w:val="en-US"/>
        </w:rPr>
        <w:t xml:space="preserve"> (PT)</w:t>
      </w:r>
    </w:p>
    <w:p w14:paraId="12733F35" w14:textId="77777777" w:rsidR="00470928" w:rsidRPr="00885DD1" w:rsidRDefault="00470928">
      <w:pPr>
        <w:rPr>
          <w:rFonts w:ascii="Baskerville" w:hAnsi="Baskerville"/>
          <w:lang w:val="en-US"/>
        </w:rPr>
      </w:pPr>
    </w:p>
    <w:p w14:paraId="6A4C86E7" w14:textId="77777777" w:rsidR="00694A89" w:rsidRPr="00885DD1" w:rsidRDefault="00694A89">
      <w:pPr>
        <w:rPr>
          <w:rFonts w:ascii="Baskerville" w:hAnsi="Baskerville"/>
          <w:lang w:val="en-US"/>
        </w:rPr>
      </w:pPr>
    </w:p>
    <w:p w14:paraId="14E04408" w14:textId="77777777" w:rsidR="00694A89" w:rsidRPr="00885DD1" w:rsidRDefault="00694A89">
      <w:pPr>
        <w:rPr>
          <w:rFonts w:ascii="Baskerville" w:hAnsi="Baskerville"/>
          <w:lang w:val="en-US"/>
        </w:rPr>
      </w:pPr>
    </w:p>
    <w:p w14:paraId="7A9EA0E6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17/1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Introduktion</w:t>
      </w:r>
      <w:r>
        <w:rPr>
          <w:rFonts w:ascii="Baskerville" w:hAnsi="Baskerville"/>
        </w:rPr>
        <w:t xml:space="preserve"> (PT)</w:t>
      </w:r>
    </w:p>
    <w:p w14:paraId="328F8806" w14:textId="77777777" w:rsidR="00694A89" w:rsidRDefault="00470928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L207</w:t>
      </w:r>
    </w:p>
    <w:p w14:paraId="47621A62" w14:textId="77777777" w:rsidR="00694A89" w:rsidRDefault="00694A89">
      <w:pPr>
        <w:rPr>
          <w:rFonts w:ascii="Baskerville" w:hAnsi="Baskerville"/>
        </w:rPr>
      </w:pPr>
    </w:p>
    <w:p w14:paraId="199AF107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19/1</w:t>
      </w:r>
      <w:r w:rsidR="009C4821">
        <w:rPr>
          <w:rFonts w:ascii="Baskerville" w:hAnsi="Baskerville"/>
        </w:rPr>
        <w:tab/>
      </w:r>
      <w:r w:rsidR="009C4821">
        <w:rPr>
          <w:rFonts w:ascii="Baskerville" w:hAnsi="Baskerville"/>
        </w:rPr>
        <w:tab/>
        <w:t>Den dolde vuxne</w:t>
      </w:r>
      <w:r w:rsidR="00694A89">
        <w:rPr>
          <w:rFonts w:ascii="Baskerville" w:hAnsi="Baskerville"/>
        </w:rPr>
        <w:t xml:space="preserve"> och det mäktiga barnet</w:t>
      </w:r>
      <w:r>
        <w:rPr>
          <w:rFonts w:ascii="Baskerville" w:hAnsi="Baskerville"/>
        </w:rPr>
        <w:t xml:space="preserve"> (OJ)</w:t>
      </w:r>
      <w:r w:rsidR="00694A89">
        <w:rPr>
          <w:rFonts w:ascii="Baskerville" w:hAnsi="Baskerville"/>
        </w:rPr>
        <w:tab/>
      </w:r>
    </w:p>
    <w:p w14:paraId="681D61B2" w14:textId="77777777" w:rsidR="00694A89" w:rsidRDefault="00470928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H135a</w:t>
      </w:r>
      <w:r w:rsidR="00694A89">
        <w:rPr>
          <w:rFonts w:ascii="Baskerville" w:hAnsi="Baskerville"/>
        </w:rPr>
        <w:tab/>
        <w:t>(Nodelman; Beauvais</w:t>
      </w:r>
      <w:r w:rsidR="00DA59DE">
        <w:rPr>
          <w:rFonts w:ascii="Baskerville" w:hAnsi="Baskerville"/>
        </w:rPr>
        <w:t>; Orlov i Andersson/Druker</w:t>
      </w:r>
      <w:r w:rsidR="00694A89">
        <w:rPr>
          <w:rFonts w:ascii="Baskerville" w:hAnsi="Baskerville"/>
        </w:rPr>
        <w:t>)</w:t>
      </w:r>
    </w:p>
    <w:p w14:paraId="4A39E6CB" w14:textId="77777777" w:rsidR="00470928" w:rsidRDefault="00470928">
      <w:pPr>
        <w:rPr>
          <w:rFonts w:ascii="Baskerville" w:hAnsi="Baskerville"/>
        </w:rPr>
      </w:pPr>
    </w:p>
    <w:p w14:paraId="2A57E0A0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20/1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Seminarium</w:t>
      </w:r>
      <w:r>
        <w:rPr>
          <w:rFonts w:ascii="Baskerville" w:hAnsi="Baskerville"/>
        </w:rPr>
        <w:t xml:space="preserve"> (OJ)</w:t>
      </w:r>
    </w:p>
    <w:p w14:paraId="08511CAA" w14:textId="77777777" w:rsidR="00694A89" w:rsidRDefault="00470928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L207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</w:r>
    </w:p>
    <w:p w14:paraId="2AC564A0" w14:textId="77777777" w:rsidR="00694A89" w:rsidRDefault="00694A89">
      <w:pPr>
        <w:rPr>
          <w:rFonts w:ascii="Baskerville" w:hAnsi="Baskerville"/>
        </w:rPr>
      </w:pPr>
    </w:p>
    <w:p w14:paraId="71B210CF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24/1</w:t>
      </w:r>
      <w:r w:rsidR="008F53BE">
        <w:rPr>
          <w:rFonts w:ascii="Baskerville" w:hAnsi="Baskerville"/>
        </w:rPr>
        <w:tab/>
      </w:r>
      <w:r w:rsidR="008F53BE">
        <w:rPr>
          <w:rFonts w:ascii="Baskerville" w:hAnsi="Baskerville"/>
        </w:rPr>
        <w:tab/>
        <w:t>S</w:t>
      </w:r>
      <w:r w:rsidR="00694A89">
        <w:rPr>
          <w:rFonts w:ascii="Baskerville" w:hAnsi="Baskerville"/>
        </w:rPr>
        <w:t>truktur</w:t>
      </w:r>
      <w:r w:rsidR="008F53BE">
        <w:rPr>
          <w:rFonts w:ascii="Baskerville" w:hAnsi="Baskerville"/>
        </w:rPr>
        <w:t xml:space="preserve">, synvinkel och </w:t>
      </w:r>
      <w:proofErr w:type="spellStart"/>
      <w:r w:rsidR="008F53BE">
        <w:rPr>
          <w:rFonts w:ascii="Baskerville" w:hAnsi="Baskerville"/>
        </w:rPr>
        <w:t>fokalisering</w:t>
      </w:r>
      <w:proofErr w:type="spellEnd"/>
      <w:r>
        <w:rPr>
          <w:rFonts w:ascii="Baskerville" w:hAnsi="Baskerville"/>
        </w:rPr>
        <w:t xml:space="preserve"> (VM)</w:t>
      </w:r>
    </w:p>
    <w:p w14:paraId="573BC85D" w14:textId="77777777" w:rsidR="00694A89" w:rsidRDefault="00470928" w:rsidP="001E3E20">
      <w:pPr>
        <w:ind w:left="2600" w:hanging="2600"/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L207</w:t>
      </w:r>
      <w:r w:rsidR="001E3E20">
        <w:rPr>
          <w:rFonts w:ascii="Baskerville" w:hAnsi="Baskerville"/>
        </w:rPr>
        <w:tab/>
      </w:r>
      <w:r w:rsidR="001E3E20">
        <w:rPr>
          <w:rFonts w:ascii="Baskerville" w:hAnsi="Baskerville"/>
        </w:rPr>
        <w:tab/>
        <w:t>(Tenngart</w:t>
      </w:r>
      <w:r w:rsidR="009C4821">
        <w:rPr>
          <w:rFonts w:ascii="Baskerville" w:hAnsi="Baskerville"/>
        </w:rPr>
        <w:t>, kap. 1 och 2</w:t>
      </w:r>
      <w:r w:rsidR="001E3E20">
        <w:rPr>
          <w:rFonts w:ascii="Baskerville" w:hAnsi="Baskerville"/>
        </w:rPr>
        <w:t>;</w:t>
      </w:r>
      <w:r w:rsidR="00694A89">
        <w:rPr>
          <w:rFonts w:ascii="Baskerville" w:hAnsi="Baskerville"/>
        </w:rPr>
        <w:t xml:space="preserve"> </w:t>
      </w:r>
      <w:r w:rsidR="001E3E20">
        <w:rPr>
          <w:rFonts w:ascii="Baskerville" w:hAnsi="Baskerville"/>
        </w:rPr>
        <w:t>Druker, Andersson och Nikolajeva i Andersson/Druker</w:t>
      </w:r>
      <w:r>
        <w:rPr>
          <w:rFonts w:ascii="Baskerville" w:hAnsi="Baskerville"/>
        </w:rPr>
        <w:t>; samt Nordqvist</w:t>
      </w:r>
      <w:r w:rsidR="00694A89">
        <w:rPr>
          <w:rFonts w:ascii="Baskerville" w:hAnsi="Baskerville"/>
        </w:rPr>
        <w:t>)</w:t>
      </w:r>
    </w:p>
    <w:p w14:paraId="2B8278AB" w14:textId="77777777" w:rsidR="00694A89" w:rsidRDefault="00694A89">
      <w:pPr>
        <w:rPr>
          <w:rFonts w:ascii="Baskerville" w:hAnsi="Baskerville"/>
        </w:rPr>
      </w:pPr>
    </w:p>
    <w:p w14:paraId="475C0CA4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26/1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Seminarium</w:t>
      </w:r>
      <w:r>
        <w:rPr>
          <w:rFonts w:ascii="Baskerville" w:hAnsi="Baskerville"/>
        </w:rPr>
        <w:t xml:space="preserve"> (VM)</w:t>
      </w:r>
    </w:p>
    <w:p w14:paraId="315DC539" w14:textId="77777777" w:rsidR="00694A89" w:rsidRDefault="00470928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H135a</w:t>
      </w:r>
    </w:p>
    <w:p w14:paraId="7563E6C8" w14:textId="77777777" w:rsidR="00694A89" w:rsidRDefault="00694A89">
      <w:pPr>
        <w:rPr>
          <w:rFonts w:ascii="Baskerville" w:hAnsi="Baskerville"/>
        </w:rPr>
      </w:pPr>
    </w:p>
    <w:p w14:paraId="14998703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27/1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Intermediala perspektiv</w:t>
      </w:r>
      <w:r>
        <w:rPr>
          <w:rFonts w:ascii="Baskerville" w:hAnsi="Baskerville"/>
        </w:rPr>
        <w:t xml:space="preserve"> (OJ)</w:t>
      </w:r>
    </w:p>
    <w:p w14:paraId="60DD3769" w14:textId="77777777" w:rsidR="00694A89" w:rsidRPr="00885DD1" w:rsidRDefault="00470928">
      <w:pPr>
        <w:rPr>
          <w:rFonts w:ascii="Baskerville" w:hAnsi="Baskerville"/>
          <w:lang w:val="en-US"/>
        </w:rPr>
      </w:pPr>
      <w:r w:rsidRPr="00885DD1">
        <w:rPr>
          <w:rFonts w:ascii="Baskerville" w:hAnsi="Baskerville"/>
          <w:lang w:val="en-US"/>
        </w:rPr>
        <w:t>13.15-15, H135b</w:t>
      </w:r>
      <w:r w:rsidRPr="00885DD1">
        <w:rPr>
          <w:rFonts w:ascii="Baskerville" w:hAnsi="Baskerville"/>
          <w:lang w:val="en-US"/>
        </w:rPr>
        <w:tab/>
      </w:r>
      <w:r w:rsidR="001E3E20" w:rsidRPr="00885DD1">
        <w:rPr>
          <w:rFonts w:ascii="Baskerville" w:hAnsi="Baskerville"/>
          <w:lang w:val="en-US"/>
        </w:rPr>
        <w:t>(Hutcheon; Flewitt;</w:t>
      </w:r>
      <w:r w:rsidR="00694A89" w:rsidRPr="00885DD1">
        <w:rPr>
          <w:rFonts w:ascii="Baskerville" w:hAnsi="Baskerville"/>
          <w:lang w:val="en-US"/>
        </w:rPr>
        <w:t xml:space="preserve"> Christensen)</w:t>
      </w:r>
    </w:p>
    <w:p w14:paraId="21A38F43" w14:textId="77777777" w:rsidR="00694A89" w:rsidRPr="00885DD1" w:rsidRDefault="00694A89">
      <w:pPr>
        <w:rPr>
          <w:rFonts w:ascii="Baskerville" w:hAnsi="Baskerville"/>
          <w:lang w:val="en-US"/>
        </w:rPr>
      </w:pPr>
    </w:p>
    <w:p w14:paraId="1ABBC832" w14:textId="77777777" w:rsidR="00694A89" w:rsidRPr="00885DD1" w:rsidRDefault="00470928">
      <w:pPr>
        <w:rPr>
          <w:rFonts w:ascii="Baskerville" w:hAnsi="Baskerville"/>
          <w:lang w:val="en-US"/>
        </w:rPr>
      </w:pPr>
      <w:r w:rsidRPr="00885DD1">
        <w:rPr>
          <w:rFonts w:ascii="Baskerville" w:hAnsi="Baskerville"/>
          <w:lang w:val="en-US"/>
        </w:rPr>
        <w:t>31/1</w:t>
      </w:r>
      <w:r w:rsidR="00694A89" w:rsidRPr="00885DD1">
        <w:rPr>
          <w:rFonts w:ascii="Baskerville" w:hAnsi="Baskerville"/>
          <w:lang w:val="en-US"/>
        </w:rPr>
        <w:tab/>
      </w:r>
      <w:r w:rsidR="00694A89" w:rsidRPr="00885DD1">
        <w:rPr>
          <w:rFonts w:ascii="Baskerville" w:hAnsi="Baskerville"/>
          <w:lang w:val="en-US"/>
        </w:rPr>
        <w:tab/>
        <w:t>Seminarium</w:t>
      </w:r>
      <w:r w:rsidRPr="00885DD1">
        <w:rPr>
          <w:rFonts w:ascii="Baskerville" w:hAnsi="Baskerville"/>
          <w:lang w:val="en-US"/>
        </w:rPr>
        <w:t xml:space="preserve"> (OJ)</w:t>
      </w:r>
    </w:p>
    <w:p w14:paraId="30FBEB40" w14:textId="77777777" w:rsidR="00694A89" w:rsidRPr="00885DD1" w:rsidRDefault="00470928">
      <w:pPr>
        <w:rPr>
          <w:rFonts w:ascii="Baskerville" w:hAnsi="Baskerville"/>
          <w:lang w:val="en-US"/>
        </w:rPr>
      </w:pPr>
      <w:r w:rsidRPr="00885DD1">
        <w:rPr>
          <w:rFonts w:ascii="Baskerville" w:hAnsi="Baskerville"/>
          <w:lang w:val="en-US"/>
        </w:rPr>
        <w:t>13.15-15, H239a</w:t>
      </w:r>
    </w:p>
    <w:p w14:paraId="4B7CBBDC" w14:textId="77777777" w:rsidR="00694A89" w:rsidRPr="00885DD1" w:rsidRDefault="00694A89">
      <w:pPr>
        <w:rPr>
          <w:rFonts w:ascii="Baskerville" w:hAnsi="Baskerville"/>
          <w:lang w:val="en-US"/>
        </w:rPr>
      </w:pPr>
    </w:p>
    <w:p w14:paraId="0B3FB6F3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2/2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Kognitionsteoretiska perspektiv</w:t>
      </w:r>
      <w:r>
        <w:rPr>
          <w:rFonts w:ascii="Baskerville" w:hAnsi="Baskerville"/>
        </w:rPr>
        <w:t xml:space="preserve"> (PT)</w:t>
      </w:r>
    </w:p>
    <w:p w14:paraId="265A3B75" w14:textId="77777777" w:rsidR="00694A89" w:rsidRDefault="00470928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H135a</w:t>
      </w:r>
      <w:r>
        <w:rPr>
          <w:rFonts w:ascii="Baskerville" w:hAnsi="Baskerville"/>
        </w:rPr>
        <w:tab/>
      </w:r>
      <w:r w:rsidR="001E3E20">
        <w:rPr>
          <w:rFonts w:ascii="Baskerville" w:hAnsi="Baskerville"/>
        </w:rPr>
        <w:t>(Tenngart</w:t>
      </w:r>
      <w:r w:rsidR="009C4821">
        <w:rPr>
          <w:rFonts w:ascii="Baskerville" w:hAnsi="Baskerville"/>
        </w:rPr>
        <w:t>, kap. 9</w:t>
      </w:r>
      <w:r w:rsidR="001E3E20">
        <w:rPr>
          <w:rFonts w:ascii="Baskerville" w:hAnsi="Baskerville"/>
        </w:rPr>
        <w:t>; Nikolajeva</w:t>
      </w:r>
      <w:r w:rsidR="00694A89">
        <w:rPr>
          <w:rFonts w:ascii="Baskerville" w:hAnsi="Baskerville"/>
        </w:rPr>
        <w:t>)</w:t>
      </w:r>
    </w:p>
    <w:p w14:paraId="6EA7AD4D" w14:textId="77777777" w:rsidR="00694A89" w:rsidRDefault="00694A89">
      <w:pPr>
        <w:rPr>
          <w:rFonts w:ascii="Baskerville" w:hAnsi="Baskerville"/>
        </w:rPr>
      </w:pPr>
    </w:p>
    <w:p w14:paraId="31B04CD9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3/2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Seminarium</w:t>
      </w:r>
      <w:r>
        <w:rPr>
          <w:rFonts w:ascii="Baskerville" w:hAnsi="Baskerville"/>
        </w:rPr>
        <w:t xml:space="preserve"> (PT)</w:t>
      </w:r>
    </w:p>
    <w:p w14:paraId="5380EDA2" w14:textId="77777777" w:rsidR="00694A89" w:rsidRDefault="00470928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L207</w:t>
      </w:r>
    </w:p>
    <w:p w14:paraId="142940A9" w14:textId="77777777" w:rsidR="00694A89" w:rsidRDefault="00694A89">
      <w:pPr>
        <w:rPr>
          <w:rFonts w:ascii="Baskerville" w:hAnsi="Baskerville"/>
        </w:rPr>
      </w:pPr>
    </w:p>
    <w:p w14:paraId="0DA260F3" w14:textId="77777777" w:rsidR="00694A89" w:rsidRDefault="00470928">
      <w:pPr>
        <w:rPr>
          <w:rFonts w:ascii="Baskerville" w:hAnsi="Baskerville"/>
        </w:rPr>
      </w:pPr>
      <w:r>
        <w:rPr>
          <w:rFonts w:ascii="Baskerville" w:hAnsi="Baskerville"/>
        </w:rPr>
        <w:t>6/2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Genus och postkolonialism</w:t>
      </w:r>
      <w:r>
        <w:rPr>
          <w:rFonts w:ascii="Baskerville" w:hAnsi="Baskerville"/>
        </w:rPr>
        <w:t xml:space="preserve"> (PT)</w:t>
      </w:r>
    </w:p>
    <w:p w14:paraId="296DFDAE" w14:textId="77777777" w:rsidR="00694A89" w:rsidRDefault="00470928" w:rsidP="00694A89">
      <w:pPr>
        <w:ind w:left="2600" w:hanging="2600"/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L303a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(Tenngart</w:t>
      </w:r>
      <w:r w:rsidR="009C4821">
        <w:rPr>
          <w:rFonts w:ascii="Baskerville" w:hAnsi="Baskerville"/>
        </w:rPr>
        <w:t>, kap. 6 och 7</w:t>
      </w:r>
      <w:r w:rsidR="00694A89">
        <w:rPr>
          <w:rFonts w:ascii="Baskerville" w:hAnsi="Baskerville"/>
        </w:rPr>
        <w:t xml:space="preserve">; </w:t>
      </w:r>
      <w:proofErr w:type="spellStart"/>
      <w:r w:rsidR="00694A89">
        <w:rPr>
          <w:rFonts w:ascii="Baskerville" w:hAnsi="Baskerville"/>
        </w:rPr>
        <w:t>Grettve</w:t>
      </w:r>
      <w:proofErr w:type="spellEnd"/>
      <w:r w:rsidR="00694A89">
        <w:rPr>
          <w:rFonts w:ascii="Baskerville" w:hAnsi="Baskerville"/>
        </w:rPr>
        <w:t>, Österlund, Öhrn och Franck i Andersson/Druker</w:t>
      </w:r>
      <w:r>
        <w:rPr>
          <w:rFonts w:ascii="Baskerville" w:hAnsi="Baskerville"/>
        </w:rPr>
        <w:t>; samt Almqvist</w:t>
      </w:r>
      <w:r w:rsidR="00694A89">
        <w:rPr>
          <w:rFonts w:ascii="Baskerville" w:hAnsi="Baskerville"/>
        </w:rPr>
        <w:t>)</w:t>
      </w:r>
    </w:p>
    <w:p w14:paraId="7BA9C6E9" w14:textId="77777777" w:rsidR="00694A89" w:rsidRDefault="00694A89" w:rsidP="00694A89">
      <w:pPr>
        <w:ind w:left="2600"/>
        <w:rPr>
          <w:rFonts w:ascii="Baskerville" w:hAnsi="Baskerville"/>
        </w:rPr>
      </w:pPr>
    </w:p>
    <w:p w14:paraId="3B40DC85" w14:textId="77777777" w:rsidR="00694A89" w:rsidRDefault="00470928" w:rsidP="00694A89">
      <w:pPr>
        <w:rPr>
          <w:rFonts w:ascii="Baskerville" w:hAnsi="Baskerville"/>
        </w:rPr>
      </w:pPr>
      <w:r>
        <w:rPr>
          <w:rFonts w:ascii="Baskerville" w:hAnsi="Baskerville"/>
        </w:rPr>
        <w:t>7/2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Seminarium</w:t>
      </w:r>
      <w:r>
        <w:rPr>
          <w:rFonts w:ascii="Baskerville" w:hAnsi="Baskerville"/>
        </w:rPr>
        <w:t xml:space="preserve"> (PT)</w:t>
      </w:r>
    </w:p>
    <w:p w14:paraId="4258A82B" w14:textId="77777777" w:rsidR="00694A89" w:rsidRDefault="00470928" w:rsidP="00694A89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13.15-15</w:t>
      </w:r>
      <w:proofErr w:type="gramEnd"/>
      <w:r>
        <w:rPr>
          <w:rFonts w:ascii="Baskerville" w:hAnsi="Baskerville"/>
        </w:rPr>
        <w:t>, H135a</w:t>
      </w:r>
    </w:p>
    <w:p w14:paraId="5E3848E5" w14:textId="77777777" w:rsidR="00694A89" w:rsidRDefault="00694A89" w:rsidP="00694A89">
      <w:pPr>
        <w:ind w:left="2600"/>
        <w:rPr>
          <w:rFonts w:ascii="Baskerville" w:hAnsi="Baskerville"/>
        </w:rPr>
      </w:pPr>
    </w:p>
    <w:p w14:paraId="305159C6" w14:textId="77777777" w:rsidR="00694A89" w:rsidRDefault="00470928" w:rsidP="00694A89">
      <w:pPr>
        <w:rPr>
          <w:rFonts w:ascii="Baskerville" w:hAnsi="Baskerville"/>
        </w:rPr>
      </w:pPr>
      <w:r>
        <w:rPr>
          <w:rFonts w:ascii="Baskerville" w:hAnsi="Baskerville"/>
        </w:rPr>
        <w:t>13/2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Klass och ekokritik</w:t>
      </w:r>
      <w:r>
        <w:rPr>
          <w:rFonts w:ascii="Baskerville" w:hAnsi="Baskerville"/>
        </w:rPr>
        <w:t xml:space="preserve"> (VM)</w:t>
      </w:r>
    </w:p>
    <w:p w14:paraId="3BEDDFF0" w14:textId="77777777" w:rsidR="00694A89" w:rsidRDefault="00470928" w:rsidP="00470928">
      <w:pPr>
        <w:ind w:left="2600" w:hanging="2600"/>
        <w:rPr>
          <w:rFonts w:ascii="Baskerville" w:hAnsi="Baskerville"/>
        </w:rPr>
      </w:pPr>
      <w:proofErr w:type="gramStart"/>
      <w:r>
        <w:rPr>
          <w:rFonts w:ascii="Baskerville" w:hAnsi="Baskerville"/>
        </w:rPr>
        <w:t>10.15-12</w:t>
      </w:r>
      <w:proofErr w:type="gramEnd"/>
      <w:r>
        <w:rPr>
          <w:rFonts w:ascii="Baskerville" w:hAnsi="Baskerville"/>
        </w:rPr>
        <w:t>, H135a</w:t>
      </w:r>
      <w:r>
        <w:rPr>
          <w:rFonts w:ascii="Baskerville" w:hAnsi="Baskerville"/>
        </w:rPr>
        <w:tab/>
      </w:r>
      <w:r w:rsidR="00694A89">
        <w:rPr>
          <w:rFonts w:ascii="Baskerville" w:hAnsi="Baskerville"/>
        </w:rPr>
        <w:t>(Tenngart</w:t>
      </w:r>
      <w:r w:rsidR="009C4821">
        <w:rPr>
          <w:rFonts w:ascii="Baskerville" w:hAnsi="Baskerville"/>
        </w:rPr>
        <w:t>, kap. 5 och 8</w:t>
      </w:r>
      <w:r w:rsidR="00694A89">
        <w:rPr>
          <w:rFonts w:ascii="Baskerville" w:hAnsi="Baskerville"/>
        </w:rPr>
        <w:t xml:space="preserve">; </w:t>
      </w:r>
      <w:proofErr w:type="spellStart"/>
      <w:r w:rsidR="00694A89">
        <w:rPr>
          <w:rFonts w:ascii="Baskerville" w:hAnsi="Baskerville"/>
        </w:rPr>
        <w:t>Lassén</w:t>
      </w:r>
      <w:proofErr w:type="spellEnd"/>
      <w:r w:rsidR="00694A89">
        <w:rPr>
          <w:rFonts w:ascii="Baskerville" w:hAnsi="Baskerville"/>
        </w:rPr>
        <w:t>-Seger i Andersson/Druker</w:t>
      </w:r>
      <w:r>
        <w:rPr>
          <w:rFonts w:ascii="Baskerville" w:hAnsi="Baskerville"/>
        </w:rPr>
        <w:t>; samt Lundgren</w:t>
      </w:r>
      <w:r w:rsidR="00694A89">
        <w:rPr>
          <w:rFonts w:ascii="Baskerville" w:hAnsi="Baskerville"/>
        </w:rPr>
        <w:t>)</w:t>
      </w:r>
    </w:p>
    <w:p w14:paraId="2FB4E051" w14:textId="77777777" w:rsidR="00694A89" w:rsidRDefault="00694A89" w:rsidP="00694A89">
      <w:pPr>
        <w:rPr>
          <w:rFonts w:ascii="Baskerville" w:hAnsi="Baskerville"/>
        </w:rPr>
      </w:pPr>
    </w:p>
    <w:p w14:paraId="490E4D01" w14:textId="77777777" w:rsidR="00694A89" w:rsidRDefault="00470928" w:rsidP="00694A89">
      <w:pPr>
        <w:rPr>
          <w:rFonts w:ascii="Baskerville" w:hAnsi="Baskerville"/>
        </w:rPr>
      </w:pPr>
      <w:r>
        <w:rPr>
          <w:rFonts w:ascii="Baskerville" w:hAnsi="Baskerville"/>
        </w:rPr>
        <w:t>14/2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Seminarium</w:t>
      </w:r>
      <w:r>
        <w:rPr>
          <w:rFonts w:ascii="Baskerville" w:hAnsi="Baskerville"/>
        </w:rPr>
        <w:t xml:space="preserve"> (VM)</w:t>
      </w:r>
    </w:p>
    <w:p w14:paraId="44AD0770" w14:textId="77777777" w:rsidR="00694A89" w:rsidRDefault="00470928" w:rsidP="00694A89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lastRenderedPageBreak/>
        <w:t>10.15-12</w:t>
      </w:r>
      <w:proofErr w:type="gramEnd"/>
      <w:r>
        <w:rPr>
          <w:rFonts w:ascii="Baskerville" w:hAnsi="Baskerville"/>
        </w:rPr>
        <w:t>, A333</w:t>
      </w:r>
    </w:p>
    <w:p w14:paraId="3D0338FE" w14:textId="77777777" w:rsidR="00694A89" w:rsidRDefault="00694A89" w:rsidP="00694A89">
      <w:pPr>
        <w:rPr>
          <w:rFonts w:ascii="Baskerville" w:hAnsi="Baskerville"/>
        </w:rPr>
      </w:pPr>
    </w:p>
    <w:p w14:paraId="3FAE31EE" w14:textId="08EB9C01" w:rsidR="00694A89" w:rsidRDefault="00AA151D" w:rsidP="00694A89">
      <w:pPr>
        <w:rPr>
          <w:rFonts w:ascii="Baskerville" w:hAnsi="Baskerville"/>
        </w:rPr>
      </w:pPr>
      <w:r>
        <w:rPr>
          <w:rFonts w:ascii="Baskerville" w:hAnsi="Baskerville"/>
        </w:rPr>
        <w:t>15/2</w:t>
      </w:r>
      <w:r w:rsidR="00694A89">
        <w:rPr>
          <w:rFonts w:ascii="Baskerville" w:hAnsi="Baskerville"/>
        </w:rPr>
        <w:tab/>
      </w:r>
      <w:r w:rsidR="00694A89">
        <w:rPr>
          <w:rFonts w:ascii="Baskerville" w:hAnsi="Baskerville"/>
        </w:rPr>
        <w:tab/>
        <w:t>Inlämning</w:t>
      </w:r>
      <w:r>
        <w:rPr>
          <w:rFonts w:ascii="Baskerville" w:hAnsi="Baskerville"/>
        </w:rPr>
        <w:t xml:space="preserve"> analys</w:t>
      </w:r>
    </w:p>
    <w:p w14:paraId="5FB98A55" w14:textId="798C88C8" w:rsidR="00AA151D" w:rsidRPr="00694A89" w:rsidRDefault="00AA151D" w:rsidP="00694A89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senast kl. 24.00</w:t>
      </w:r>
      <w:proofErr w:type="gramEnd"/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sectPr w:rsidR="00AA151D" w:rsidRPr="00694A89" w:rsidSect="003111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9"/>
    <w:rsid w:val="0003452B"/>
    <w:rsid w:val="001E3E20"/>
    <w:rsid w:val="00311192"/>
    <w:rsid w:val="00470928"/>
    <w:rsid w:val="00680144"/>
    <w:rsid w:val="00694A89"/>
    <w:rsid w:val="00885DD1"/>
    <w:rsid w:val="008F53BE"/>
    <w:rsid w:val="009C4821"/>
    <w:rsid w:val="00A3222C"/>
    <w:rsid w:val="00A759AF"/>
    <w:rsid w:val="00AA151D"/>
    <w:rsid w:val="00DA59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F8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0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Tenngart</dc:creator>
  <cp:lastModifiedBy>kans-esi</cp:lastModifiedBy>
  <cp:revision>2</cp:revision>
  <cp:lastPrinted>2017-01-16T09:49:00Z</cp:lastPrinted>
  <dcterms:created xsi:type="dcterms:W3CDTF">2017-01-16T09:50:00Z</dcterms:created>
  <dcterms:modified xsi:type="dcterms:W3CDTF">2017-01-16T09:50:00Z</dcterms:modified>
</cp:coreProperties>
</file>