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03681A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FIVK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01 Filmvetenskap, 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kandidatkurs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proofErr w:type="spellStart"/>
      <w:r w:rsidR="00D90C95">
        <w:rPr>
          <w:rFonts w:ascii="Times New Roman" w:hAnsi="Times New Roman" w:cs="Times-Roman"/>
          <w:b/>
          <w:sz w:val="24"/>
          <w:szCs w:val="28"/>
          <w:lang w:val="sv-SE" w:bidi="sv-SE"/>
        </w:rPr>
        <w:t>vt</w:t>
      </w:r>
      <w:proofErr w:type="spellEnd"/>
      <w:r w:rsidR="00D90C95">
        <w:rPr>
          <w:rFonts w:ascii="Times New Roman" w:hAnsi="Times New Roman" w:cs="Times-Roman"/>
          <w:b/>
          <w:sz w:val="24"/>
          <w:szCs w:val="28"/>
          <w:lang w:val="sv-SE" w:bidi="sv-SE"/>
        </w:rPr>
        <w:t xml:space="preserve"> 2017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</w:t>
      </w:r>
      <w:r w:rsidR="00D90C95">
        <w:rPr>
          <w:rFonts w:ascii="Times New Roman" w:hAnsi="Times New Roman" w:cs="Times-Roman"/>
          <w:sz w:val="24"/>
          <w:szCs w:val="28"/>
          <w:lang w:val="sv-SE" w:bidi="sv-SE"/>
        </w:rPr>
        <w:t>, 29 november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141188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141188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Resurslitteratur till alla delkurser</w:t>
      </w:r>
    </w:p>
    <w:p w:rsidR="00737B7E" w:rsidRPr="00141188" w:rsidRDefault="00737B7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737B7E" w:rsidRDefault="00205A4B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Gocsik</w:t>
      </w:r>
      <w:proofErr w:type="spellEnd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Karen, </w:t>
      </w:r>
      <w:proofErr w:type="spellStart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Barsam</w:t>
      </w:r>
      <w:proofErr w:type="spellEnd"/>
      <w:r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>, Richard &amp; Monahan, Dave (</w:t>
      </w:r>
      <w:r w:rsidR="00737B7E" w:rsidRPr="001411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2013). </w:t>
      </w:r>
      <w:r w:rsidR="00737B7E"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3D36C4">
        <w:rPr>
          <w:rFonts w:ascii="Times New Roman" w:hAnsi="Times New Roman"/>
          <w:color w:val="000000" w:themeColor="text1"/>
          <w:sz w:val="24"/>
          <w:szCs w:val="24"/>
        </w:rPr>
        <w:t>tredje</w:t>
      </w:r>
      <w:proofErr w:type="spellEnd"/>
      <w:r w:rsidR="003D36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36C4">
        <w:rPr>
          <w:rFonts w:ascii="Times New Roman" w:hAnsi="Times New Roman"/>
          <w:color w:val="000000" w:themeColor="text1"/>
          <w:sz w:val="24"/>
          <w:szCs w:val="24"/>
        </w:rPr>
        <w:t>upplagan</w:t>
      </w:r>
      <w:proofErr w:type="spellEnd"/>
      <w:r w:rsidR="003D36C4">
        <w:rPr>
          <w:rFonts w:ascii="Times New Roman" w:hAnsi="Times New Roman"/>
          <w:color w:val="000000" w:themeColor="text1"/>
          <w:sz w:val="24"/>
          <w:szCs w:val="24"/>
        </w:rPr>
        <w:t>. New York &amp;</w:t>
      </w:r>
      <w:r w:rsidR="00737B7E">
        <w:rPr>
          <w:rFonts w:ascii="Times New Roman" w:hAnsi="Times New Roman"/>
          <w:color w:val="000000" w:themeColor="text1"/>
          <w:sz w:val="24"/>
          <w:szCs w:val="24"/>
        </w:rPr>
        <w:t xml:space="preserve"> London: Norton</w:t>
      </w:r>
    </w:p>
    <w:p w:rsidR="00791A2D" w:rsidRDefault="00791A2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:rsidR="00791A2D" w:rsidRPr="00791A2D" w:rsidRDefault="00791A2D" w:rsidP="00791A2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791A2D">
        <w:rPr>
          <w:rFonts w:ascii="Times New Roman" w:hAnsi="Times New Roman"/>
          <w:color w:val="000000" w:themeColor="text1"/>
          <w:sz w:val="24"/>
          <w:szCs w:val="24"/>
        </w:rPr>
        <w:t xml:space="preserve">Hayward, Susan (2006), </w:t>
      </w:r>
      <w:r w:rsidRPr="00791A2D">
        <w:rPr>
          <w:rFonts w:ascii="Times New Roman" w:hAnsi="Times New Roman"/>
          <w:i/>
          <w:iCs/>
          <w:color w:val="000000" w:themeColor="text1"/>
          <w:sz w:val="24"/>
          <w:szCs w:val="24"/>
        </w:rPr>
        <w:t>Cinema Studies: The Key Concepts</w:t>
      </w:r>
      <w:r w:rsidRPr="00791A2D">
        <w:rPr>
          <w:rFonts w:ascii="Times New Roman" w:hAnsi="Times New Roman"/>
          <w:color w:val="000000" w:themeColor="text1"/>
          <w:sz w:val="24"/>
          <w:szCs w:val="24"/>
        </w:rPr>
        <w:t>, London: Routledge</w:t>
      </w:r>
    </w:p>
    <w:p w:rsidR="00737B7E" w:rsidRPr="005503AC" w:rsidRDefault="00141188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03AC">
        <w:rPr>
          <w:rFonts w:ascii="Times New Roman" w:hAnsi="Times New Roman"/>
          <w:sz w:val="24"/>
          <w:szCs w:val="24"/>
        </w:rPr>
        <w:t>Tillgänglig</w:t>
      </w:r>
      <w:proofErr w:type="spellEnd"/>
      <w:r w:rsidRPr="005503AC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Pr="005503AC">
        <w:rPr>
          <w:rFonts w:ascii="Times New Roman" w:hAnsi="Times New Roman"/>
          <w:sz w:val="24"/>
          <w:szCs w:val="24"/>
        </w:rPr>
        <w:t>LUBSearch</w:t>
      </w:r>
      <w:proofErr w:type="spellEnd"/>
      <w:r w:rsidRPr="005503AC">
        <w:rPr>
          <w:rFonts w:ascii="Times New Roman" w:hAnsi="Times New Roman"/>
          <w:sz w:val="24"/>
          <w:szCs w:val="24"/>
        </w:rPr>
        <w:t>.</w:t>
      </w:r>
    </w:p>
    <w:p w:rsidR="00141188" w:rsidRDefault="00141188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</w:p>
    <w:p w:rsidR="00737B7E" w:rsidRPr="00D90C95" w:rsidRDefault="00240FCE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41188" w:rsidRPr="00D90C95">
        <w:rPr>
          <w:rFonts w:ascii="Times New Roman" w:hAnsi="Times New Roman"/>
          <w:color w:val="000000" w:themeColor="text1"/>
          <w:sz w:val="24"/>
          <w:szCs w:val="24"/>
        </w:rPr>
        <w:t xml:space="preserve">Oxford: Oxford University Press. </w:t>
      </w:r>
      <w:proofErr w:type="spellStart"/>
      <w:r w:rsidR="00141188" w:rsidRPr="00D90C95">
        <w:rPr>
          <w:rFonts w:ascii="Times New Roman" w:hAnsi="Times New Roman"/>
          <w:sz w:val="24"/>
          <w:szCs w:val="24"/>
        </w:rPr>
        <w:t>Tillgänglig</w:t>
      </w:r>
      <w:proofErr w:type="spellEnd"/>
      <w:r w:rsidR="00141188" w:rsidRPr="00D90C95">
        <w:rPr>
          <w:rFonts w:ascii="Times New Roman" w:hAnsi="Times New Roman"/>
          <w:sz w:val="24"/>
          <w:szCs w:val="24"/>
        </w:rPr>
        <w:t xml:space="preserve"> via </w:t>
      </w:r>
      <w:proofErr w:type="spellStart"/>
      <w:r w:rsidR="00141188" w:rsidRPr="00D90C95">
        <w:rPr>
          <w:rFonts w:ascii="Times New Roman" w:hAnsi="Times New Roman"/>
          <w:sz w:val="24"/>
          <w:szCs w:val="24"/>
        </w:rPr>
        <w:t>LUBSearch</w:t>
      </w:r>
      <w:proofErr w:type="spellEnd"/>
      <w:r w:rsidR="00141188" w:rsidRPr="00D90C95">
        <w:rPr>
          <w:rFonts w:ascii="Times New Roman" w:hAnsi="Times New Roman"/>
          <w:sz w:val="24"/>
          <w:szCs w:val="24"/>
        </w:rPr>
        <w:t>.</w:t>
      </w:r>
    </w:p>
    <w:p w:rsidR="00141188" w:rsidRDefault="00141188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</w:pPr>
    </w:p>
    <w:p w:rsidR="00737B7E" w:rsidRPr="003D36C4" w:rsidRDefault="00737B7E" w:rsidP="00737B7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</w:pPr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 xml:space="preserve">The Routledge </w:t>
      </w:r>
      <w:proofErr w:type="spellStart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>encyclopedia</w:t>
      </w:r>
      <w:proofErr w:type="spellEnd"/>
      <w:r w:rsidRPr="00737B7E">
        <w:rPr>
          <w:rFonts w:ascii="Times New Roman" w:hAnsi="Times New Roman"/>
          <w:i/>
          <w:color w:val="000000" w:themeColor="text1"/>
          <w:sz w:val="24"/>
          <w:szCs w:val="24"/>
          <w:lang w:val="en-GB" w:bidi="sv-SE"/>
        </w:rPr>
        <w:t xml:space="preserve"> of film theory</w:t>
      </w:r>
      <w:r w:rsidRPr="00737B7E"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 w:bidi="sv-SE"/>
        </w:rPr>
        <w:t xml:space="preserve">(2014). </w:t>
      </w:r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Branigan, Edward &amp;</w:t>
      </w:r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 xml:space="preserve"> </w:t>
      </w:r>
      <w:proofErr w:type="spellStart"/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Buckland</w:t>
      </w:r>
      <w:proofErr w:type="spellEnd"/>
      <w:r w:rsidRPr="003D36C4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 xml:space="preserve">, Warren. </w:t>
      </w:r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 xml:space="preserve">London &amp; New York: Routledge. </w:t>
      </w:r>
      <w:proofErr w:type="spellStart"/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Tillgänglig</w:t>
      </w:r>
      <w:proofErr w:type="spellEnd"/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 xml:space="preserve"> via </w:t>
      </w:r>
      <w:proofErr w:type="spellStart"/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LUBSearch</w:t>
      </w:r>
      <w:proofErr w:type="spellEnd"/>
      <w:r w:rsidR="005503AC">
        <w:rPr>
          <w:rFonts w:ascii="Times New Roman" w:hAnsi="Times New Roman"/>
          <w:color w:val="000000" w:themeColor="text1"/>
          <w:sz w:val="24"/>
          <w:szCs w:val="24"/>
          <w:lang w:val="de-DE" w:bidi="sv-SE"/>
        </w:rPr>
        <w:t>.</w:t>
      </w:r>
    </w:p>
    <w:p w:rsidR="00795E81" w:rsidRPr="003D36C4" w:rsidRDefault="00795E81" w:rsidP="00FA1DB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de-DE" w:bidi="sv-SE"/>
        </w:rPr>
      </w:pPr>
    </w:p>
    <w:p w:rsidR="00A81576" w:rsidRPr="003D36C4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de-DE" w:bidi="sv-SE"/>
        </w:rPr>
      </w:pPr>
    </w:p>
    <w:p w:rsidR="004A6CFC" w:rsidRPr="0005422E" w:rsidRDefault="00795E81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1: </w:t>
      </w:r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Filmanalytisk teori och metod, 7,5 </w:t>
      </w:r>
      <w:proofErr w:type="spellStart"/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hp</w:t>
      </w:r>
      <w:proofErr w:type="spellEnd"/>
      <w:r w:rsidR="0003681A"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Pr="0003681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3D36C4" w:rsidRPr="0005422E" w:rsidRDefault="003D36C4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Andersson, Lars Gustaf, John Sundholm &amp; Astrid Söderbergh Widding (2012), “Experimentfilmens behov &amp; filmarkivets möjligheter”, i Mats Jönsson &amp; Pelle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Snickars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(red.), </w:t>
      </w:r>
      <w:r w:rsidRPr="00CB042A">
        <w:rPr>
          <w:rFonts w:ascii="Times New Roman" w:hAnsi="Times New Roman" w:cs="Times-Roman"/>
          <w:i/>
          <w:sz w:val="24"/>
          <w:szCs w:val="24"/>
          <w:lang w:val="sv-SE" w:bidi="sv-SE"/>
        </w:rPr>
        <w:t>“Skosmörja eller arkivdokument” - Om filmarkivet.se och den digitala filmhistorien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, Mediehistoriskt arkiv s. 67 – 80. Finns fritt nedladdningsbar: </w:t>
      </w:r>
      <w:hyperlink r:id="rId9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http://mediehistorisktarkiv.se/bocker/skosmorja-eller-arkivdokument-om-filmarkivet-se-och-den-digitala-filmhistorien/</w:t>
        </w:r>
      </w:hyperlink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Andersson, Lars Gustaf, John Sundholm &amp; Astrid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Söderbergh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Widding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(2010),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A History of Swedish Experimental Film Culture. From Early Animation to Video Art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Mediehistoriskt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arkiv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>, s. 11 – 27 (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kapitlet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“The Writing of a History of Swedish Experimental Film”).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Finns fritt nedladdningsbar: </w:t>
      </w:r>
      <w:hyperlink r:id="rId10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http://mediehistorisktarkiv.se/bocker/a-history-of-swedish-experimental-film-culture-from-early-animation-to-video-art/</w:t>
        </w:r>
      </w:hyperlink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u w:val="single"/>
          <w:lang w:val="sv-SE" w:bidi="sv-SE"/>
        </w:rPr>
      </w:pPr>
    </w:p>
    <w:p w:rsidR="00BA17A7" w:rsidRPr="00BA17A7" w:rsidRDefault="00BA17A7" w:rsidP="00BA17A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BA17A7">
        <w:rPr>
          <w:rFonts w:ascii="Times New Roman" w:hAnsi="Times New Roman" w:cs="Times-Roman"/>
          <w:sz w:val="24"/>
          <w:szCs w:val="24"/>
          <w:lang w:bidi="sv-SE"/>
        </w:rPr>
        <w:t>Chandler, Daniel (2007), “</w:t>
      </w: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Analysing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 xml:space="preserve"> Structures”, </w:t>
      </w: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> </w:t>
      </w:r>
      <w:r w:rsidRPr="00BA17A7">
        <w:rPr>
          <w:rFonts w:ascii="Times New Roman" w:hAnsi="Times New Roman" w:cs="Times-Roman"/>
          <w:i/>
          <w:iCs/>
          <w:sz w:val="24"/>
          <w:szCs w:val="24"/>
          <w:lang w:bidi="sv-SE"/>
        </w:rPr>
        <w:t>Semiotics – The Basics</w:t>
      </w:r>
      <w:r w:rsidRPr="00BA17A7">
        <w:rPr>
          <w:rFonts w:ascii="Times New Roman" w:hAnsi="Times New Roman" w:cs="Times-Roman"/>
          <w:sz w:val="24"/>
          <w:szCs w:val="24"/>
          <w:lang w:bidi="sv-SE"/>
        </w:rPr>
        <w:t xml:space="preserve">, London, </w:t>
      </w:r>
      <w:r w:rsidRPr="00BA17A7">
        <w:rPr>
          <w:rFonts w:ascii="Times New Roman" w:hAnsi="Times New Roman" w:cs="Times-Roman"/>
          <w:sz w:val="24"/>
          <w:szCs w:val="24"/>
          <w:lang w:bidi="sv-SE"/>
        </w:rPr>
        <w:lastRenderedPageBreak/>
        <w:t xml:space="preserve">New York: Routledge, s. 83 – 121. </w:t>
      </w:r>
    </w:p>
    <w:p w:rsidR="00CB042A" w:rsidRPr="00CB042A" w:rsidRDefault="00CB042A" w:rsidP="00BA17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Gunning, Tom (2004), “The Intertextuality of Early Cinema – A Prologue to </w:t>
      </w:r>
      <w:proofErr w:type="spellStart"/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Fantômas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”,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i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Robert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Stam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Alessandra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Raengo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(red.),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A Companion to Literature and Film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Malden, Oxford, Carlton: Blackwell Publishing,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s. 127 – 140.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undervisningsplattformen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Erik (2015), “Whose Repressed Memories? 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Max Manus: Man of War and Flame &amp; Citron (from a Swede's Point of View)”,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i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Gustafsson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T. &amp;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Kääpä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P. (red.),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Nordic Genre Film: Small Nation Film Cultures in the Global Marketplace,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Edinburgh: Edinburgh University Press, s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. 33 – 46.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Tillgänglig via undervisningsplattformen.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Hedling, Erik (2015), “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ʽPlaton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talar om fyra slags sätt att smickra, men Cleopatra kunde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flerʼ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: Marcus Antonius uppgång, nedgång och fall i tv-serien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Rome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”, i Zander, U. &amp; Hammar, I. (red.), </w:t>
      </w:r>
      <w:r w:rsidRPr="00CB042A">
        <w:rPr>
          <w:rFonts w:ascii="Times New Roman" w:hAnsi="Times New Roman" w:cs="Times-Roman"/>
          <w:i/>
          <w:sz w:val="24"/>
          <w:szCs w:val="24"/>
          <w:lang w:val="sv-SE" w:bidi="sv-SE"/>
        </w:rPr>
        <w:t>Svärd, sandaler och skandaler. Antiken på film och i tv,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Lund: Studentlitteratur, s. 68 –93. Tillgänglig via undervisningsplattformen.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Olof (2015), “The Trouble with Stars: Vernacular vs. Global Stardom in Two Forms of European Popular Culture”,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A </w:t>
      </w:r>
      <w:proofErr w:type="spellStart"/>
      <w:proofErr w:type="gramStart"/>
      <w:r w:rsidRPr="00CB042A">
        <w:rPr>
          <w:rFonts w:ascii="Times New Roman" w:hAnsi="Times New Roman" w:cs="Times-Roman"/>
          <w:sz w:val="24"/>
          <w:szCs w:val="24"/>
          <w:lang w:bidi="sv-SE"/>
        </w:rPr>
        <w:t>Timoshkina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,</w:t>
      </w:r>
      <w:proofErr w:type="gram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M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Harrod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&amp; M Liz (red.), 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Cinema: Identity, Meaning, Globalization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London: I. B. Tauris, s. 109 – 124.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via Academia.edu.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Olof (2009), “Possibilities of Stardom in European Cinema Culture”,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Tytti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Soila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(red.),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Stellar Encounters: Stardom in Popular European Cinema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John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Libbey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-Imperial College Press, p. 256 – 266.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Tillgänglig via undervisningsplattformen.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Hedling, Olof (2015), “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ʽFör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två ostburgare och en Coca-Cola’. Anteckningar om den europeiska film- och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>TV-produktionens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omflyttningar efter 1989”, </w:t>
      </w:r>
      <w:r w:rsidRPr="00CB042A">
        <w:rPr>
          <w:rFonts w:ascii="Times New Roman" w:hAnsi="Times New Roman" w:cs="Times-Roman"/>
          <w:i/>
          <w:sz w:val="24"/>
          <w:szCs w:val="24"/>
          <w:lang w:val="sv-SE" w:bidi="sv-SE"/>
        </w:rPr>
        <w:t>Statsvetenskaplig tidskrift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, vol. 117, no 3, s. 71 – 89.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utbildningsplattformen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Hedling, Olof (2014), “Notes on Nordic Noir as European Popular Culture”,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Frames Cinema Journal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No. 6 (Special issue: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Mondo Pop: Rethinking Genre Beyond Hollywood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).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(10 sidor). Tillgänglig via </w:t>
      </w:r>
      <w:hyperlink r:id="rId11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http://framescinemajournal.com/article/notes-on-nordic-noir-as-european-popular-culture/</w:t>
        </w:r>
      </w:hyperlink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Hutcheon, Linda (2006). </w:t>
      </w:r>
      <w:r w:rsidRPr="00CB042A">
        <w:rPr>
          <w:rFonts w:ascii="Times New Roman" w:hAnsi="Times New Roman" w:cs="Times-Roman"/>
          <w:i/>
          <w:sz w:val="24"/>
          <w:szCs w:val="24"/>
          <w:lang w:val="en-GB" w:bidi="sv-SE"/>
        </w:rPr>
        <w:t>A Theory of Adaptation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, New York: Routledge. s. 1 – 32 (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kapitlet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“Beginning to Theorize Adaptation: What? Who? Why? How? Where? When?”).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BA17A7" w:rsidRPr="00BA17A7" w:rsidRDefault="00BA17A7" w:rsidP="00BA17A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Kavanaugh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>, James H. (1980), “</w:t>
      </w: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ʽSon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 xml:space="preserve"> of a </w:t>
      </w: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Bitchʼ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>: Feminism, Humanism, and Science in Alien”, </w:t>
      </w:r>
      <w:r w:rsidRPr="00BA17A7">
        <w:rPr>
          <w:rFonts w:ascii="Times New Roman" w:hAnsi="Times New Roman" w:cs="Times-Roman"/>
          <w:i/>
          <w:iCs/>
          <w:sz w:val="24"/>
          <w:szCs w:val="24"/>
          <w:lang w:bidi="sv-SE"/>
        </w:rPr>
        <w:t>October</w:t>
      </w:r>
      <w:r w:rsidRPr="00BA17A7">
        <w:rPr>
          <w:rFonts w:ascii="Times New Roman" w:hAnsi="Times New Roman" w:cs="Times-Roman"/>
          <w:sz w:val="24"/>
          <w:szCs w:val="24"/>
          <w:lang w:bidi="sv-SE"/>
        </w:rPr>
        <w:t xml:space="preserve">, no 13, Cambridge, MA: The MIT Press, s. 90–100. </w:t>
      </w: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BA17A7">
        <w:rPr>
          <w:rFonts w:ascii="Times New Roman" w:hAnsi="Times New Roman" w:cs="Times-Roman"/>
          <w:sz w:val="24"/>
          <w:szCs w:val="24"/>
          <w:lang w:bidi="sv-SE"/>
        </w:rPr>
        <w:t>undervisningsplattformen</w:t>
      </w:r>
      <w:proofErr w:type="spellEnd"/>
      <w:r w:rsidRPr="00BA17A7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BA17A7" w:rsidRDefault="00BA17A7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Redmond, Sean &amp; Craig Batty (2015), “Seeing into Things: Eye Tracking the Moving Image”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Refractory - a Journal of Entertainment Media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>, vol. 25 (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artikel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1). </w:t>
      </w:r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(ungefär 7 sidor) Finns fritt nedladdningsbar: </w:t>
      </w:r>
      <w:hyperlink r:id="rId12" w:history="1">
        <w:r w:rsidRPr="00CB042A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http://refractory.unimelb.edu.au/2015/02/06/volume-25-2015/</w:t>
        </w:r>
      </w:hyperlink>
      <w:r w:rsidRPr="00CB042A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Shifman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>Limor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 (2014), </w:t>
      </w:r>
      <w:r w:rsidRPr="00CB042A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Memes in Digital Culture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t xml:space="preserve">. Cambridge, Mass.: MIT Press Ltd., </w:t>
      </w:r>
      <w:r w:rsidRPr="00CB042A">
        <w:rPr>
          <w:rFonts w:ascii="Times New Roman" w:hAnsi="Times New Roman" w:cs="Times-Roman"/>
          <w:sz w:val="24"/>
          <w:szCs w:val="24"/>
          <w:lang w:val="en-GB" w:bidi="sv-SE"/>
        </w:rPr>
        <w:lastRenderedPageBreak/>
        <w:t>s. 9 – 41) (32 s.).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Wallengren, Ann-Kristin, Alexander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Strukelj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(2015) “Film Music and Visual Attention: A Pilot Experiment using Eye-tracking”,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Music and the Moving Image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vol. 8,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nr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. 2, s. 69 – 80.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Tillgänglig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via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undervisningsplattformen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>.</w:t>
      </w:r>
    </w:p>
    <w:p w:rsidR="00CB042A" w:rsidRPr="00CB042A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141188" w:rsidRPr="00791A2D" w:rsidRDefault="00CB042A" w:rsidP="0014118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Wiggins, Bradley, Bret Bowers (2015), “Memes as genre: A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structurational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 analysis of the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memescape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”, </w:t>
      </w:r>
      <w:r w:rsidRPr="00CB042A">
        <w:rPr>
          <w:rFonts w:ascii="Times New Roman" w:hAnsi="Times New Roman" w:cs="Times-Roman"/>
          <w:i/>
          <w:sz w:val="24"/>
          <w:szCs w:val="24"/>
          <w:lang w:bidi="sv-SE"/>
        </w:rPr>
        <w:t>New Media &amp; Society</w:t>
      </w:r>
      <w:r w:rsidRPr="00CB042A">
        <w:rPr>
          <w:rFonts w:ascii="Times New Roman" w:hAnsi="Times New Roman" w:cs="Times-Roman"/>
          <w:sz w:val="24"/>
          <w:szCs w:val="24"/>
          <w:lang w:bidi="sv-SE"/>
        </w:rPr>
        <w:t xml:space="preserve">, December, </w:t>
      </w:r>
      <w:proofErr w:type="spellStart"/>
      <w:r w:rsidRPr="00CB042A">
        <w:rPr>
          <w:rFonts w:ascii="Times New Roman" w:hAnsi="Times New Roman" w:cs="Times-Roman"/>
          <w:sz w:val="24"/>
          <w:szCs w:val="24"/>
          <w:lang w:bidi="sv-SE"/>
        </w:rPr>
        <w:t>nr</w:t>
      </w:r>
      <w:proofErr w:type="spellEnd"/>
      <w:r w:rsidRPr="00CB042A">
        <w:rPr>
          <w:rFonts w:ascii="Times New Roman" w:hAnsi="Times New Roman" w:cs="Times-Roman"/>
          <w:sz w:val="24"/>
          <w:szCs w:val="24"/>
          <w:lang w:bidi="sv-SE"/>
        </w:rPr>
        <w:t>. 17, s. 1 – 21 (20 s.).</w:t>
      </w:r>
      <w:r w:rsidR="00141188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141188" w:rsidRPr="00CB042A">
        <w:rPr>
          <w:rFonts w:ascii="Times New Roman" w:hAnsi="Times New Roman"/>
          <w:sz w:val="24"/>
          <w:szCs w:val="24"/>
          <w:lang w:val="sv-SE"/>
        </w:rPr>
        <w:t>Tillgänglig via</w:t>
      </w:r>
      <w:r w:rsidR="00141188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="00141188">
        <w:rPr>
          <w:rFonts w:ascii="Times New Roman" w:hAnsi="Times New Roman"/>
          <w:sz w:val="24"/>
          <w:szCs w:val="24"/>
          <w:lang w:val="sv-SE"/>
        </w:rPr>
        <w:t>LUBSearch</w:t>
      </w:r>
      <w:proofErr w:type="spellEnd"/>
      <w:r w:rsidR="00141188">
        <w:rPr>
          <w:rFonts w:ascii="Times New Roman" w:hAnsi="Times New Roman"/>
          <w:sz w:val="24"/>
          <w:szCs w:val="24"/>
          <w:lang w:val="sv-SE"/>
        </w:rPr>
        <w:t>.</w:t>
      </w:r>
    </w:p>
    <w:p w:rsidR="00CB042A" w:rsidRPr="005503AC" w:rsidRDefault="00CB042A" w:rsidP="001411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5503AC" w:rsidRDefault="00CB042A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CB042A" w:rsidRPr="00141188" w:rsidRDefault="00815094" w:rsidP="00CB04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>
        <w:rPr>
          <w:rFonts w:ascii="Times New Roman" w:hAnsi="Times New Roman" w:cs="Times-Roman"/>
          <w:sz w:val="24"/>
          <w:szCs w:val="24"/>
          <w:lang w:val="sv-SE" w:bidi="sv-SE"/>
        </w:rPr>
        <w:t>Sidoantal: 310</w:t>
      </w:r>
      <w:r w:rsidR="00CB042A" w:rsidRPr="00141188">
        <w:rPr>
          <w:rFonts w:ascii="Times New Roman" w:hAnsi="Times New Roman" w:cs="Times-Roman"/>
          <w:sz w:val="24"/>
          <w:szCs w:val="24"/>
          <w:lang w:val="sv-SE" w:bidi="sv-SE"/>
        </w:rPr>
        <w:t xml:space="preserve"> s.</w:t>
      </w:r>
    </w:p>
    <w:p w:rsidR="00CB042A" w:rsidRPr="00141188" w:rsidRDefault="00CB042A" w:rsidP="003D36C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3D36C4" w:rsidRDefault="003D36C4" w:rsidP="00CB04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5422E" w:rsidRPr="0005422E" w:rsidRDefault="0005422E" w:rsidP="0005422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Dessutom 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kan tillkomma ytterligare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material 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(100 s.) som hämtas</w:t>
      </w:r>
      <w:r w:rsidRPr="0005422E">
        <w:rPr>
          <w:rFonts w:ascii="Times New Roman" w:hAnsi="Times New Roman" w:cs="Times-Roman"/>
          <w:b/>
          <w:sz w:val="24"/>
          <w:szCs w:val="24"/>
          <w:lang w:val="sv-SE" w:bidi="sv-SE"/>
        </w:rPr>
        <w:t xml:space="preserve"> fritt online</w:t>
      </w:r>
      <w:r w:rsidR="00CB042A">
        <w:rPr>
          <w:rFonts w:ascii="Times New Roman" w:hAnsi="Times New Roman" w:cs="Times-Roman"/>
          <w:b/>
          <w:sz w:val="24"/>
          <w:szCs w:val="24"/>
          <w:lang w:val="sv-SE" w:bidi="sv-SE"/>
        </w:rPr>
        <w:t>.</w:t>
      </w:r>
    </w:p>
    <w:p w:rsidR="0005422E" w:rsidRPr="003D36C4" w:rsidRDefault="0005422E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A0558" w:rsidRPr="003D36C4" w:rsidRDefault="007A0558" w:rsidP="00E3761F">
      <w:pPr>
        <w:pStyle w:val="Ingetavstnd"/>
        <w:rPr>
          <w:rFonts w:ascii="Times New Roman" w:hAnsi="Times New Roman"/>
          <w:sz w:val="24"/>
          <w:szCs w:val="24"/>
          <w:lang w:val="sv-SE"/>
        </w:rPr>
      </w:pPr>
    </w:p>
    <w:p w:rsidR="0003681A" w:rsidRPr="003D36C4" w:rsidRDefault="0003681A" w:rsidP="00E3761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45331E" w:rsidRPr="00BA17A7" w:rsidRDefault="0045331E" w:rsidP="00855B27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331E" w:rsidRPr="00BA17A7">
      <w:headerReference w:type="default" r:id="rId13"/>
      <w:headerReference w:type="first" r:id="rId14"/>
      <w:footerReference w:type="first" r:id="rId15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E6" w:rsidRDefault="00ED4EE6">
      <w:pPr>
        <w:spacing w:line="240" w:lineRule="auto"/>
      </w:pPr>
      <w:r>
        <w:separator/>
      </w:r>
    </w:p>
  </w:endnote>
  <w:endnote w:type="continuationSeparator" w:id="0">
    <w:p w:rsidR="00ED4EE6" w:rsidRDefault="00ED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slinje"/>
    </w:pPr>
  </w:p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E6" w:rsidRDefault="00ED4EE6">
      <w:pPr>
        <w:spacing w:line="240" w:lineRule="auto"/>
      </w:pPr>
      <w:r>
        <w:separator/>
      </w:r>
    </w:p>
  </w:footnote>
  <w:footnote w:type="continuationSeparator" w:id="0">
    <w:p w:rsidR="00ED4EE6" w:rsidRDefault="00ED4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39045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>
          <wp:extent cx="971550" cy="1219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880"/>
    <w:multiLevelType w:val="multilevel"/>
    <w:tmpl w:val="C5A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601"/>
    <w:multiLevelType w:val="multilevel"/>
    <w:tmpl w:val="F1F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3681A"/>
    <w:rsid w:val="00042FE4"/>
    <w:rsid w:val="0005422E"/>
    <w:rsid w:val="00067322"/>
    <w:rsid w:val="00074FC7"/>
    <w:rsid w:val="000D43B5"/>
    <w:rsid w:val="00102600"/>
    <w:rsid w:val="00141188"/>
    <w:rsid w:val="00197913"/>
    <w:rsid w:val="001A197E"/>
    <w:rsid w:val="001B65DB"/>
    <w:rsid w:val="001C71F8"/>
    <w:rsid w:val="001E56C6"/>
    <w:rsid w:val="001F3ACD"/>
    <w:rsid w:val="00205A4B"/>
    <w:rsid w:val="00240B90"/>
    <w:rsid w:val="00240FCE"/>
    <w:rsid w:val="00260141"/>
    <w:rsid w:val="002C059D"/>
    <w:rsid w:val="002E2212"/>
    <w:rsid w:val="002F59F1"/>
    <w:rsid w:val="00375C8C"/>
    <w:rsid w:val="003809B1"/>
    <w:rsid w:val="0039045A"/>
    <w:rsid w:val="003A715A"/>
    <w:rsid w:val="003C2459"/>
    <w:rsid w:val="003C7204"/>
    <w:rsid w:val="003D36C4"/>
    <w:rsid w:val="004219E8"/>
    <w:rsid w:val="0045331E"/>
    <w:rsid w:val="004A4976"/>
    <w:rsid w:val="004A6CFC"/>
    <w:rsid w:val="004C2499"/>
    <w:rsid w:val="004E2C00"/>
    <w:rsid w:val="00500099"/>
    <w:rsid w:val="005503AC"/>
    <w:rsid w:val="00550D0A"/>
    <w:rsid w:val="005739AC"/>
    <w:rsid w:val="005A0B93"/>
    <w:rsid w:val="005B00F6"/>
    <w:rsid w:val="0066391E"/>
    <w:rsid w:val="006D53BE"/>
    <w:rsid w:val="006F66B8"/>
    <w:rsid w:val="00701D77"/>
    <w:rsid w:val="00736317"/>
    <w:rsid w:val="00737B7E"/>
    <w:rsid w:val="0075213C"/>
    <w:rsid w:val="00764CD1"/>
    <w:rsid w:val="00791A2D"/>
    <w:rsid w:val="00795E81"/>
    <w:rsid w:val="007A0558"/>
    <w:rsid w:val="007E663E"/>
    <w:rsid w:val="00815094"/>
    <w:rsid w:val="00855B27"/>
    <w:rsid w:val="0087110D"/>
    <w:rsid w:val="00982E14"/>
    <w:rsid w:val="009A1CDE"/>
    <w:rsid w:val="009A5EFD"/>
    <w:rsid w:val="00A51141"/>
    <w:rsid w:val="00A76A75"/>
    <w:rsid w:val="00A81576"/>
    <w:rsid w:val="00AA39DE"/>
    <w:rsid w:val="00AC2E66"/>
    <w:rsid w:val="00B17D57"/>
    <w:rsid w:val="00B46784"/>
    <w:rsid w:val="00B70397"/>
    <w:rsid w:val="00B90785"/>
    <w:rsid w:val="00BA17A7"/>
    <w:rsid w:val="00BF2B19"/>
    <w:rsid w:val="00C05F47"/>
    <w:rsid w:val="00C14002"/>
    <w:rsid w:val="00C30050"/>
    <w:rsid w:val="00C32689"/>
    <w:rsid w:val="00C45A32"/>
    <w:rsid w:val="00C72242"/>
    <w:rsid w:val="00C8465E"/>
    <w:rsid w:val="00CB042A"/>
    <w:rsid w:val="00CD4E2B"/>
    <w:rsid w:val="00D16945"/>
    <w:rsid w:val="00D90C95"/>
    <w:rsid w:val="00DC2FB9"/>
    <w:rsid w:val="00E30472"/>
    <w:rsid w:val="00E3761F"/>
    <w:rsid w:val="00E50DE0"/>
    <w:rsid w:val="00E55583"/>
    <w:rsid w:val="00ED3789"/>
    <w:rsid w:val="00ED4EE6"/>
    <w:rsid w:val="00EF685F"/>
    <w:rsid w:val="00F07C94"/>
    <w:rsid w:val="00F47A4E"/>
    <w:rsid w:val="00F941B0"/>
    <w:rsid w:val="00F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0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0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fractory.unimelb.edu.au/2015/02/06/volume-25-201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amescinemajournal.com/article/notes-on-nordic-noir-as-european-popular-cultur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ediehistorisktarkiv.se/bocker/a-history-of-swedish-experimental-film-culture-from-early-animation-to-video-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ehistorisktarkiv.se/bocker/skosmorja-eller-arkivdokument-om-filmarkivet-se-och-den-digitala-filmhistori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0B12-3452-4672-A6BD-F24B0EF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5382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2014-05-26T09:35:00Z</cp:lastPrinted>
  <dcterms:created xsi:type="dcterms:W3CDTF">2016-11-30T08:33:00Z</dcterms:created>
  <dcterms:modified xsi:type="dcterms:W3CDTF">2016-11-30T08:33:00Z</dcterms:modified>
</cp:coreProperties>
</file>