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C9" w:rsidRDefault="00471298" w:rsidP="00E47DC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LIVK10:1</w:t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  <w:t xml:space="preserve">       </w:t>
      </w:r>
      <w:r w:rsidR="00292340">
        <w:rPr>
          <w:sz w:val="28"/>
          <w:szCs w:val="28"/>
        </w:rPr>
        <w:t xml:space="preserve">          </w:t>
      </w:r>
      <w:r w:rsidR="00E47DC9">
        <w:rPr>
          <w:sz w:val="28"/>
          <w:szCs w:val="28"/>
        </w:rPr>
        <w:t>VT 2017</w:t>
      </w:r>
    </w:p>
    <w:p w:rsidR="00E47DC9" w:rsidRPr="00EF5ABD" w:rsidRDefault="00E47DC9" w:rsidP="00E47DC9">
      <w:pPr>
        <w:rPr>
          <w:sz w:val="28"/>
          <w:szCs w:val="28"/>
        </w:rPr>
      </w:pPr>
      <w:r>
        <w:rPr>
          <w:sz w:val="28"/>
          <w:szCs w:val="28"/>
        </w:rPr>
        <w:t>Tematisk fördjupningskurs: Moderna bruk av sagogenren (7,5 hp)</w:t>
      </w:r>
    </w:p>
    <w:p w:rsidR="00E47DC9" w:rsidRPr="00EF5ABD" w:rsidRDefault="00E47DC9" w:rsidP="00E47DC9"/>
    <w:p w:rsidR="00E47DC9" w:rsidRPr="00EF5ABD" w:rsidRDefault="00E47DC9" w:rsidP="00E47DC9"/>
    <w:p w:rsidR="00E47DC9" w:rsidRPr="00EF5ABD" w:rsidRDefault="00E47DC9" w:rsidP="00E47DC9">
      <w:pPr>
        <w:rPr>
          <w:b/>
        </w:rPr>
      </w:pPr>
      <w:r>
        <w:rPr>
          <w:b/>
        </w:rPr>
        <w:t>Primär</w:t>
      </w:r>
      <w:r w:rsidRPr="00EF5ABD">
        <w:rPr>
          <w:b/>
        </w:rPr>
        <w:t>litteratur</w:t>
      </w:r>
    </w:p>
    <w:p w:rsidR="00E47DC9" w:rsidRDefault="00E47DC9" w:rsidP="00E47DC9">
      <w:pPr>
        <w:rPr>
          <w:rFonts w:ascii="Times New Roman" w:hAnsi="Times New Roman"/>
        </w:rPr>
      </w:pPr>
    </w:p>
    <w:p w:rsidR="00EC1420" w:rsidRDefault="00EC1420" w:rsidP="00EC1420">
      <w:pPr>
        <w:pStyle w:val="Body4"/>
      </w:pPr>
      <w:r>
        <w:t xml:space="preserve">Andersen, H. C., ”Snödrottningen” (1845) i förf:s </w:t>
      </w:r>
      <w:r w:rsidRPr="00C11CBF">
        <w:rPr>
          <w:rFonts w:ascii="Times New Roman" w:hAnsi="Times New Roman"/>
          <w:i/>
          <w:szCs w:val="24"/>
        </w:rPr>
        <w:t>Sagor och berättelser</w:t>
      </w:r>
      <w:r>
        <w:rPr>
          <w:rFonts w:ascii="Times New Roman" w:hAnsi="Times New Roman"/>
          <w:i/>
          <w:szCs w:val="24"/>
        </w:rPr>
        <w:t xml:space="preserve"> 1835–45</w:t>
      </w:r>
      <w:r w:rsidRPr="00C11CBF">
        <w:rPr>
          <w:rFonts w:ascii="Times New Roman" w:hAnsi="Times New Roman"/>
          <w:szCs w:val="24"/>
        </w:rPr>
        <w:t>, övers. Bengt An</w:t>
      </w:r>
      <w:r w:rsidR="00EA01CF">
        <w:rPr>
          <w:rFonts w:ascii="Times New Roman" w:hAnsi="Times New Roman"/>
          <w:szCs w:val="24"/>
        </w:rPr>
        <w:t>derberg, Stockholm 1982</w:t>
      </w:r>
      <w:r w:rsidR="00EA01CF">
        <w:t>, s. 291–334</w:t>
      </w:r>
    </w:p>
    <w:p w:rsidR="00FA252B" w:rsidRPr="00EF5ABD" w:rsidRDefault="00FA252B" w:rsidP="00EC1420">
      <w:pPr>
        <w:pStyle w:val="Body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Brennan, Karen, ”The Snow Queen”, </w:t>
      </w:r>
      <w:r w:rsidRPr="001A7E7A">
        <w:rPr>
          <w:rFonts w:ascii="Times New Roman" w:hAnsi="Times New Roman"/>
          <w:i/>
        </w:rPr>
        <w:t>My Mother She Killed Me, My Father He Ate Me. Forty New Fairy Tales</w:t>
      </w:r>
      <w:r>
        <w:rPr>
          <w:rFonts w:ascii="Times New Roman" w:hAnsi="Times New Roman"/>
        </w:rPr>
        <w:t>, red. Kate Bernheimer, London 2010, s. 221–235 (</w:t>
      </w:r>
      <w:r w:rsidR="0003123A">
        <w:t>LUVIT</w:t>
      </w:r>
      <w:r>
        <w:rPr>
          <w:rFonts w:ascii="Times New Roman" w:hAnsi="Times New Roman"/>
        </w:rPr>
        <w:t>)</w:t>
      </w:r>
    </w:p>
    <w:p w:rsidR="0014196A" w:rsidRDefault="0014196A" w:rsidP="00EC1420">
      <w:pPr>
        <w:pStyle w:val="Body4"/>
      </w:pPr>
      <w:r>
        <w:t xml:space="preserve">”Den styckade kvinnan, de tre äpplena och negern Rihan” ur </w:t>
      </w:r>
      <w:r w:rsidRPr="00333078">
        <w:rPr>
          <w:i/>
        </w:rPr>
        <w:t>Tusen och en natt</w:t>
      </w:r>
      <w:r w:rsidR="00414F36">
        <w:t xml:space="preserve"> VI,</w:t>
      </w:r>
      <w:r>
        <w:t xml:space="preserve"> </w:t>
      </w:r>
      <w:r w:rsidR="00414F36">
        <w:t xml:space="preserve">urval &amp; </w:t>
      </w:r>
      <w:r>
        <w:t>övers. Nils Holmberg, S</w:t>
      </w:r>
      <w:r w:rsidR="00414F36">
        <w:t>tockholm 1963, s. 138–144</w:t>
      </w:r>
      <w:r>
        <w:t xml:space="preserve"> (</w:t>
      </w:r>
      <w:r w:rsidR="0003123A">
        <w:t>LUVIT</w:t>
      </w:r>
      <w:r>
        <w:t>)</w:t>
      </w:r>
    </w:p>
    <w:p w:rsidR="00455514" w:rsidRDefault="00455514" w:rsidP="00EC1420">
      <w:pPr>
        <w:pStyle w:val="Body4"/>
        <w:rPr>
          <w:rFonts w:ascii="Times New Roman" w:hAnsi="Times New Roman"/>
        </w:rPr>
      </w:pPr>
      <w:r w:rsidRPr="00E342B4">
        <w:rPr>
          <w:rFonts w:ascii="Times New Roman" w:hAnsi="Times New Roman"/>
        </w:rPr>
        <w:t>Grimm</w:t>
      </w:r>
      <w:r>
        <w:rPr>
          <w:rFonts w:ascii="Times New Roman" w:hAnsi="Times New Roman"/>
        </w:rPr>
        <w:t>, Jakob &amp; Wilhelm</w:t>
      </w:r>
      <w:r w:rsidRPr="00E342B4">
        <w:rPr>
          <w:rFonts w:ascii="Times New Roman" w:hAnsi="Times New Roman"/>
        </w:rPr>
        <w:t xml:space="preserve">, </w:t>
      </w:r>
      <w:r w:rsidR="001C1D67">
        <w:rPr>
          <w:rStyle w:val="Underrubrik1"/>
        </w:rPr>
        <w:t xml:space="preserve">”Körvel” (1812) i förf:s </w:t>
      </w:r>
      <w:r w:rsidR="001C1D67" w:rsidRPr="00F07A7C">
        <w:rPr>
          <w:rFonts w:ascii="Times New Roman" w:hAnsi="Times New Roman"/>
          <w:i/>
        </w:rPr>
        <w:t>Sagor</w:t>
      </w:r>
      <w:r w:rsidR="001C1D67">
        <w:rPr>
          <w:rFonts w:ascii="Times New Roman" w:hAnsi="Times New Roman"/>
        </w:rPr>
        <w:t xml:space="preserve"> 1, övers. Ernst Lundquist, </w:t>
      </w:r>
      <w:r w:rsidR="00C75276">
        <w:t>Stock-holm</w:t>
      </w:r>
      <w:r w:rsidR="00C75276">
        <w:rPr>
          <w:rFonts w:ascii="Times New Roman" w:hAnsi="Times New Roman"/>
        </w:rPr>
        <w:t xml:space="preserve"> </w:t>
      </w:r>
      <w:r w:rsidR="001C1D67">
        <w:rPr>
          <w:rFonts w:ascii="Times New Roman" w:hAnsi="Times New Roman"/>
        </w:rPr>
        <w:t xml:space="preserve">1981, </w:t>
      </w:r>
      <w:r w:rsidR="001C1D67">
        <w:rPr>
          <w:rStyle w:val="Underrubrik1"/>
        </w:rPr>
        <w:t xml:space="preserve">s. 54–58; </w:t>
      </w:r>
      <w:r w:rsidRPr="00E342B4">
        <w:rPr>
          <w:rFonts w:ascii="Times New Roman" w:hAnsi="Times New Roman"/>
        </w:rPr>
        <w:t xml:space="preserve">”De </w:t>
      </w:r>
      <w:r>
        <w:rPr>
          <w:rFonts w:ascii="Times New Roman" w:hAnsi="Times New Roman"/>
        </w:rPr>
        <w:t>utdansade skorna</w:t>
      </w:r>
      <w:r w:rsidRPr="00E342B4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(1815)</w:t>
      </w:r>
      <w:r w:rsidR="00C75276">
        <w:rPr>
          <w:rFonts w:ascii="Times New Roman" w:hAnsi="Times New Roman"/>
        </w:rPr>
        <w:t xml:space="preserve"> &amp;</w:t>
      </w:r>
      <w:r w:rsidR="008263C9">
        <w:rPr>
          <w:rFonts w:ascii="Times New Roman" w:hAnsi="Times New Roman"/>
        </w:rPr>
        <w:t xml:space="preserve"> ”Åsne</w:t>
      </w:r>
      <w:r w:rsidR="00C75276">
        <w:rPr>
          <w:rFonts w:ascii="Times New Roman" w:hAnsi="Times New Roman"/>
        </w:rPr>
        <w:t>-</w:t>
      </w:r>
      <w:r w:rsidR="008263C9">
        <w:rPr>
          <w:rFonts w:ascii="Times New Roman" w:hAnsi="Times New Roman"/>
        </w:rPr>
        <w:t>prinsen”</w:t>
      </w:r>
      <w:r w:rsidR="00C75276">
        <w:rPr>
          <w:rFonts w:ascii="Times New Roman" w:hAnsi="Times New Roman"/>
        </w:rPr>
        <w:t xml:space="preserve"> (1815)</w:t>
      </w:r>
      <w:r w:rsidR="00D008CC">
        <w:rPr>
          <w:rFonts w:ascii="Times New Roman" w:hAnsi="Times New Roman"/>
        </w:rPr>
        <w:t xml:space="preserve"> </w:t>
      </w:r>
      <w:r w:rsidR="001C1D67">
        <w:rPr>
          <w:rFonts w:ascii="Times New Roman" w:hAnsi="Times New Roman"/>
        </w:rPr>
        <w:t xml:space="preserve">i </w:t>
      </w:r>
      <w:r w:rsidR="00C75276">
        <w:rPr>
          <w:rStyle w:val="Underrubrik1"/>
        </w:rPr>
        <w:t>förf:s</w:t>
      </w:r>
      <w:r w:rsidR="00C75276" w:rsidRPr="00F07A7C">
        <w:rPr>
          <w:rFonts w:ascii="Times New Roman" w:hAnsi="Times New Roman"/>
          <w:i/>
        </w:rPr>
        <w:t xml:space="preserve"> </w:t>
      </w:r>
      <w:r w:rsidR="001C1D67" w:rsidRPr="00F07A7C">
        <w:rPr>
          <w:rFonts w:ascii="Times New Roman" w:hAnsi="Times New Roman"/>
          <w:i/>
        </w:rPr>
        <w:t>Sagor</w:t>
      </w:r>
      <w:r w:rsidR="001C1D67">
        <w:rPr>
          <w:rFonts w:ascii="Times New Roman" w:hAnsi="Times New Roman"/>
        </w:rPr>
        <w:t xml:space="preserve"> 2,</w:t>
      </w:r>
      <w:r w:rsidR="001C1D67">
        <w:rPr>
          <w:rStyle w:val="Underrubrik1"/>
        </w:rPr>
        <w:t xml:space="preserve"> </w:t>
      </w:r>
      <w:r w:rsidR="00C75276">
        <w:rPr>
          <w:rFonts w:ascii="Times New Roman" w:hAnsi="Times New Roman"/>
        </w:rPr>
        <w:t>övers. Ernst Lundquist,</w:t>
      </w:r>
      <w:r w:rsidR="00C75276">
        <w:rPr>
          <w:rStyle w:val="Underrubrik1"/>
        </w:rPr>
        <w:t xml:space="preserve"> </w:t>
      </w:r>
      <w:r w:rsidR="00C75276">
        <w:t>Stockholm</w:t>
      </w:r>
      <w:r w:rsidR="00C75276">
        <w:rPr>
          <w:rStyle w:val="Underrubrik1"/>
        </w:rPr>
        <w:t xml:space="preserve"> </w:t>
      </w:r>
      <w:r w:rsidR="001C1D67">
        <w:rPr>
          <w:rStyle w:val="Underrubrik1"/>
        </w:rPr>
        <w:t xml:space="preserve">1981, </w:t>
      </w:r>
      <w:r w:rsidR="001C1D67">
        <w:rPr>
          <w:rFonts w:ascii="Times New Roman" w:hAnsi="Times New Roman"/>
        </w:rPr>
        <w:t>s. 179–183, 210–213</w:t>
      </w:r>
      <w:r w:rsidR="001C1D67">
        <w:t xml:space="preserve"> (LUVIT)</w:t>
      </w:r>
    </w:p>
    <w:p w:rsidR="008263C9" w:rsidRDefault="008263C9" w:rsidP="00EC1420">
      <w:pPr>
        <w:pStyle w:val="Body4"/>
      </w:pPr>
      <w:r>
        <w:rPr>
          <w:rStyle w:val="Underrubrik1"/>
        </w:rPr>
        <w:t xml:space="preserve">Hainer, Caroline, </w:t>
      </w:r>
      <w:r w:rsidRPr="005A088D">
        <w:rPr>
          <w:rStyle w:val="Underrubrik1"/>
          <w:i/>
        </w:rPr>
        <w:t>Åsneprinsen</w:t>
      </w:r>
      <w:r>
        <w:rPr>
          <w:rStyle w:val="Underrubrik1"/>
          <w:i/>
        </w:rPr>
        <w:t>. Roman</w:t>
      </w:r>
      <w:r>
        <w:rPr>
          <w:rStyle w:val="Underrubrik1"/>
        </w:rPr>
        <w:t>, Stockholm 2016 (330 s.)</w:t>
      </w:r>
    </w:p>
    <w:p w:rsidR="0014196A" w:rsidRDefault="00DD7D6C" w:rsidP="00EC1420">
      <w:pPr>
        <w:pStyle w:val="Body4"/>
      </w:pPr>
      <w:r>
        <w:t>”Historia om de trenne äpplena”</w:t>
      </w:r>
      <w:r w:rsidR="0014196A">
        <w:t xml:space="preserve"> ur </w:t>
      </w:r>
      <w:r w:rsidR="0014196A">
        <w:rPr>
          <w:i/>
          <w:noProof/>
        </w:rPr>
        <w:t>Tusen och en natt. Bearbetad för barn</w:t>
      </w:r>
      <w:r>
        <w:t>, Uppsala 1828, s. 209–229</w:t>
      </w:r>
      <w:r w:rsidR="0048598A">
        <w:t xml:space="preserve"> </w:t>
      </w:r>
      <w:r w:rsidR="007D4C18">
        <w:t>(</w:t>
      </w:r>
      <w:r w:rsidR="0003123A">
        <w:t>LUVIT</w:t>
      </w:r>
      <w:r w:rsidR="007D4C18">
        <w:t>)</w:t>
      </w:r>
    </w:p>
    <w:p w:rsidR="00E726A9" w:rsidRDefault="00E726A9" w:rsidP="00EC1420">
      <w:pPr>
        <w:pStyle w:val="Body4"/>
        <w:rPr>
          <w:rFonts w:ascii="Times New Roman" w:hAnsi="Times New Roman"/>
        </w:rPr>
      </w:pPr>
      <w:r w:rsidRPr="00E342B4">
        <w:rPr>
          <w:rFonts w:ascii="Times New Roman" w:hAnsi="Times New Roman"/>
        </w:rPr>
        <w:t>Kafka</w:t>
      </w:r>
      <w:r>
        <w:rPr>
          <w:rFonts w:ascii="Times New Roman" w:hAnsi="Times New Roman"/>
        </w:rPr>
        <w:t>, Franz</w:t>
      </w:r>
      <w:r w:rsidR="00D27C4C">
        <w:rPr>
          <w:rFonts w:ascii="Times New Roman" w:hAnsi="Times New Roman"/>
        </w:rPr>
        <w:t xml:space="preserve">, </w:t>
      </w:r>
      <w:r w:rsidR="00D27C4C" w:rsidRPr="00D27C4C">
        <w:rPr>
          <w:rFonts w:ascii="Times New Roman" w:hAnsi="Times New Roman"/>
          <w:i/>
        </w:rPr>
        <w:t>Förvandlingen</w:t>
      </w:r>
      <w:r w:rsidRPr="00E342B4">
        <w:rPr>
          <w:rFonts w:ascii="Times New Roman" w:hAnsi="Times New Roman"/>
        </w:rPr>
        <w:t xml:space="preserve"> (1915</w:t>
      </w:r>
      <w:r w:rsidR="00D27C4C">
        <w:rPr>
          <w:rFonts w:ascii="Times New Roman" w:hAnsi="Times New Roman"/>
        </w:rPr>
        <w:t>)</w:t>
      </w:r>
      <w:r>
        <w:rPr>
          <w:rFonts w:ascii="Times New Roman" w:hAnsi="Times New Roman"/>
        </w:rPr>
        <w:t>, övers. Hans Blomqvist &amp; Erik Ågren</w:t>
      </w:r>
      <w:r w:rsidR="00D27C4C">
        <w:rPr>
          <w:rFonts w:ascii="Times New Roman" w:hAnsi="Times New Roman"/>
        </w:rPr>
        <w:t>, Lund 2004 (74 s.)</w:t>
      </w:r>
    </w:p>
    <w:p w:rsidR="0003123A" w:rsidRDefault="0003123A" w:rsidP="00EC1420">
      <w:pPr>
        <w:pStyle w:val="Body4"/>
      </w:pPr>
      <w:r>
        <w:rPr>
          <w:rFonts w:ascii="Times New Roman" w:hAnsi="Times New Roman"/>
        </w:rPr>
        <w:t xml:space="preserve">Lagerkvist, Pär, ”Kärleken och döden” i förf:s </w:t>
      </w:r>
      <w:r w:rsidRPr="00D0106B">
        <w:rPr>
          <w:rFonts w:ascii="Times New Roman" w:hAnsi="Times New Roman"/>
          <w:i/>
        </w:rPr>
        <w:t>Onda sagor</w:t>
      </w:r>
      <w:r w:rsidR="00C00A81">
        <w:rPr>
          <w:rFonts w:ascii="Times New Roman" w:hAnsi="Times New Roman"/>
        </w:rPr>
        <w:t>, Stockholm 1924, s. 87–88</w:t>
      </w:r>
      <w:r>
        <w:rPr>
          <w:rFonts w:ascii="Times New Roman" w:hAnsi="Times New Roman"/>
        </w:rPr>
        <w:t xml:space="preserve"> (</w:t>
      </w:r>
      <w:r>
        <w:t>LUVIT</w:t>
      </w:r>
      <w:r>
        <w:rPr>
          <w:rFonts w:ascii="Times New Roman" w:hAnsi="Times New Roman"/>
        </w:rPr>
        <w:t>)</w:t>
      </w:r>
    </w:p>
    <w:p w:rsidR="0034229C" w:rsidRDefault="0034229C" w:rsidP="00EC1420">
      <w:pPr>
        <w:pStyle w:val="Body4"/>
        <w:rPr>
          <w:rFonts w:ascii="Times New Roman" w:hAnsi="Times New Roman"/>
        </w:rPr>
      </w:pPr>
      <w:r w:rsidRPr="00E342B4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agerlöf, </w:t>
      </w:r>
      <w:r w:rsidRPr="00E342B4">
        <w:rPr>
          <w:rFonts w:ascii="Times New Roman" w:hAnsi="Times New Roman"/>
        </w:rPr>
        <w:t>Selma</w:t>
      </w:r>
      <w:r>
        <w:rPr>
          <w:rFonts w:ascii="Times New Roman" w:hAnsi="Times New Roman"/>
        </w:rPr>
        <w:t>, ”</w:t>
      </w:r>
      <w:r w:rsidR="006136C5">
        <w:rPr>
          <w:rFonts w:ascii="Times New Roman" w:hAnsi="Times New Roman"/>
        </w:rPr>
        <w:t>En bortbyting. Saga</w:t>
      </w:r>
      <w:r>
        <w:rPr>
          <w:rFonts w:ascii="Times New Roman" w:hAnsi="Times New Roman"/>
        </w:rPr>
        <w:t>”</w:t>
      </w:r>
      <w:r w:rsidR="00DD7D6C">
        <w:rPr>
          <w:rFonts w:ascii="Times New Roman" w:hAnsi="Times New Roman"/>
        </w:rPr>
        <w:t xml:space="preserve">, </w:t>
      </w:r>
      <w:r w:rsidR="00DD7D6C" w:rsidRPr="00DD7D6C">
        <w:rPr>
          <w:rFonts w:ascii="Times New Roman" w:hAnsi="Times New Roman"/>
          <w:i/>
        </w:rPr>
        <w:t>Idun</w:t>
      </w:r>
      <w:r w:rsidR="00DD7D6C">
        <w:rPr>
          <w:rFonts w:ascii="Times New Roman" w:hAnsi="Times New Roman"/>
        </w:rPr>
        <w:t xml:space="preserve"> 1908</w:t>
      </w:r>
      <w:r w:rsidR="006136C5">
        <w:rPr>
          <w:rFonts w:ascii="Times New Roman" w:hAnsi="Times New Roman"/>
        </w:rPr>
        <w:t xml:space="preserve">:51, </w:t>
      </w:r>
      <w:r w:rsidR="007E7F11">
        <w:rPr>
          <w:rFonts w:ascii="Times New Roman" w:hAnsi="Times New Roman"/>
        </w:rPr>
        <w:t>5 s. (</w:t>
      </w:r>
      <w:r w:rsidR="0003123A">
        <w:t>LUVIT</w:t>
      </w:r>
      <w:r w:rsidR="007E7F11">
        <w:rPr>
          <w:rFonts w:ascii="Times New Roman" w:hAnsi="Times New Roman"/>
        </w:rPr>
        <w:t>)</w:t>
      </w:r>
    </w:p>
    <w:p w:rsidR="00D61547" w:rsidRDefault="00D61547" w:rsidP="00EC1420">
      <w:pPr>
        <w:pStyle w:val="Body4"/>
      </w:pPr>
      <w:r w:rsidRPr="00E342B4">
        <w:rPr>
          <w:rFonts w:ascii="Times New Roman" w:hAnsi="Times New Roman"/>
        </w:rPr>
        <w:t>Lagerlöf</w:t>
      </w:r>
      <w:r>
        <w:rPr>
          <w:rFonts w:ascii="Times New Roman" w:hAnsi="Times New Roman"/>
        </w:rPr>
        <w:t xml:space="preserve">, </w:t>
      </w:r>
      <w:r w:rsidRPr="00E342B4">
        <w:rPr>
          <w:rFonts w:ascii="Times New Roman" w:hAnsi="Times New Roman"/>
        </w:rPr>
        <w:t>Selma</w:t>
      </w:r>
      <w:r>
        <w:rPr>
          <w:rFonts w:ascii="Times New Roman" w:hAnsi="Times New Roman"/>
        </w:rPr>
        <w:t xml:space="preserve"> &amp; </w:t>
      </w:r>
      <w:r w:rsidRPr="00E342B4">
        <w:rPr>
          <w:rFonts w:ascii="Times New Roman" w:hAnsi="Times New Roman"/>
          <w:bCs/>
        </w:rPr>
        <w:t>Emelie Östergren</w:t>
      </w:r>
      <w:r w:rsidRPr="00E342B4">
        <w:rPr>
          <w:rFonts w:ascii="Times New Roman" w:hAnsi="Times New Roman"/>
        </w:rPr>
        <w:t xml:space="preserve">, </w:t>
      </w:r>
      <w:r w:rsidRPr="00E342B4">
        <w:rPr>
          <w:rFonts w:ascii="Times New Roman" w:hAnsi="Times New Roman"/>
          <w:i/>
        </w:rPr>
        <w:t>Bortbytingen</w:t>
      </w:r>
      <w:r>
        <w:rPr>
          <w:rFonts w:ascii="Times New Roman" w:hAnsi="Times New Roman"/>
          <w:i/>
        </w:rPr>
        <w:t>. En serieroman</w:t>
      </w:r>
      <w:r w:rsidR="007E7F11">
        <w:rPr>
          <w:rFonts w:ascii="Times New Roman" w:hAnsi="Times New Roman"/>
        </w:rPr>
        <w:t>, Stockholm 2014 (113</w:t>
      </w:r>
      <w:r>
        <w:rPr>
          <w:rFonts w:ascii="Times New Roman" w:hAnsi="Times New Roman"/>
        </w:rPr>
        <w:t xml:space="preserve"> s.)</w:t>
      </w:r>
    </w:p>
    <w:p w:rsidR="00830A05" w:rsidRDefault="00830A05" w:rsidP="00EC1420">
      <w:pPr>
        <w:pStyle w:val="Body4"/>
      </w:pPr>
      <w:r>
        <w:t xml:space="preserve">Leiva Wenger, Alejandro, ”Elixir” i förf:s </w:t>
      </w:r>
      <w:r w:rsidRPr="008141C5">
        <w:rPr>
          <w:i/>
        </w:rPr>
        <w:t>Till vår ära</w:t>
      </w:r>
      <w:r>
        <w:t>, Stockholm 2001, s. 27–34 (</w:t>
      </w:r>
      <w:r w:rsidR="0003123A">
        <w:t>LUVIT</w:t>
      </w:r>
      <w:r>
        <w:t>)</w:t>
      </w:r>
    </w:p>
    <w:p w:rsidR="005A4D85" w:rsidRDefault="005A4D85" w:rsidP="0014196A">
      <w:pPr>
        <w:pStyle w:val="Body4"/>
      </w:pPr>
      <w:r>
        <w:t xml:space="preserve">Nyberg, Julia, ”Den sköna Cunigunda. Saga” i förf:s </w:t>
      </w:r>
      <w:r w:rsidR="007D4C18">
        <w:rPr>
          <w:i/>
        </w:rPr>
        <w:t>Nyare</w:t>
      </w:r>
      <w:r w:rsidRPr="005A4D85">
        <w:rPr>
          <w:i/>
        </w:rPr>
        <w:t xml:space="preserve"> dikter</w:t>
      </w:r>
      <w:r w:rsidR="007D4C18">
        <w:t>, Stockholm 1828</w:t>
      </w:r>
      <w:r w:rsidR="00BD0696">
        <w:t>, s. 265–292</w:t>
      </w:r>
      <w:r>
        <w:t xml:space="preserve"> </w:t>
      </w:r>
      <w:r w:rsidR="00E726A9">
        <w:t>(</w:t>
      </w:r>
      <w:r w:rsidR="0003123A">
        <w:t>LUVIT</w:t>
      </w:r>
      <w:r w:rsidR="00E726A9">
        <w:t>)</w:t>
      </w:r>
    </w:p>
    <w:p w:rsidR="00765F72" w:rsidRPr="0014196A" w:rsidRDefault="00765F72" w:rsidP="0014196A">
      <w:pPr>
        <w:pStyle w:val="Body4"/>
      </w:pPr>
      <w:r>
        <w:rPr>
          <w:rStyle w:val="Underrubrik1"/>
        </w:rPr>
        <w:t xml:space="preserve">Oksanen, Sofi, </w:t>
      </w:r>
      <w:r w:rsidRPr="003457D2">
        <w:rPr>
          <w:rStyle w:val="Underrubrik1"/>
          <w:i/>
        </w:rPr>
        <w:t>Norma</w:t>
      </w:r>
      <w:r>
        <w:rPr>
          <w:rStyle w:val="Underrubrik1"/>
        </w:rPr>
        <w:t xml:space="preserve"> (2015), övers. Janina Orlov, Stockholm 2016 (327 s.)</w:t>
      </w:r>
    </w:p>
    <w:p w:rsidR="00832243" w:rsidRDefault="00DF427A" w:rsidP="0014196A">
      <w:pPr>
        <w:pStyle w:val="Body4"/>
        <w:rPr>
          <w:noProof/>
        </w:rPr>
      </w:pPr>
      <w:r w:rsidRPr="00C80EF9">
        <w:t>Perrault</w:t>
      </w:r>
      <w:r>
        <w:t>, Charles</w:t>
      </w:r>
      <w:r w:rsidRPr="00C80EF9">
        <w:t>,</w:t>
      </w:r>
      <w:r>
        <w:t xml:space="preserve"> ”Mästerkatten eller Katten i stövlarna” (1697) i förf:s</w:t>
      </w:r>
      <w:r w:rsidRPr="00C80EF9">
        <w:t xml:space="preserve"> </w:t>
      </w:r>
      <w:r w:rsidRPr="00C80EF9">
        <w:rPr>
          <w:i/>
        </w:rPr>
        <w:t>Gåsmors sagor</w:t>
      </w:r>
      <w:r>
        <w:t>, övers. Hjalma</w:t>
      </w:r>
      <w:r w:rsidR="00E12CF7">
        <w:t>r Gullberg, Stockholm 1955, s. 61–69</w:t>
      </w:r>
      <w:r>
        <w:t xml:space="preserve"> </w:t>
      </w:r>
      <w:r w:rsidR="007D4C18">
        <w:t>(</w:t>
      </w:r>
      <w:r w:rsidR="0003123A">
        <w:t>LUVIT</w:t>
      </w:r>
      <w:r w:rsidR="007D4C18">
        <w:t>)</w:t>
      </w:r>
    </w:p>
    <w:p w:rsidR="00E47DC9" w:rsidRDefault="00E47DC9" w:rsidP="00292340">
      <w:pPr>
        <w:pStyle w:val="Body4"/>
      </w:pPr>
      <w:r>
        <w:t xml:space="preserve">Strindberg, August, ”Fotografi och filosofi” i förf:s </w:t>
      </w:r>
      <w:r w:rsidRPr="003E0AD1">
        <w:rPr>
          <w:i/>
        </w:rPr>
        <w:t>Sagor</w:t>
      </w:r>
      <w:r w:rsidR="007E7F11">
        <w:t>, Stockholm 1903, s. 75–80</w:t>
      </w:r>
      <w:r>
        <w:t xml:space="preserve"> (stencil)</w:t>
      </w:r>
    </w:p>
    <w:p w:rsidR="00832243" w:rsidRDefault="00832243" w:rsidP="000879C5">
      <w:pPr>
        <w:pStyle w:val="Body4"/>
      </w:pPr>
      <w:r w:rsidRPr="00C80EF9">
        <w:t>Tieck</w:t>
      </w:r>
      <w:r>
        <w:t xml:space="preserve">, </w:t>
      </w:r>
      <w:r w:rsidRPr="00C80EF9">
        <w:t xml:space="preserve">Ludwig, </w:t>
      </w:r>
      <w:r w:rsidRPr="00C80EF9">
        <w:rPr>
          <w:i/>
        </w:rPr>
        <w:t xml:space="preserve">Mästerkatten </w:t>
      </w:r>
      <w:r>
        <w:rPr>
          <w:i/>
        </w:rPr>
        <w:t>eller Katten i stöflor</w:t>
      </w:r>
      <w:r w:rsidRPr="00C80EF9">
        <w:t xml:space="preserve"> (1797)</w:t>
      </w:r>
      <w:r w:rsidR="00292340">
        <w:t>,</w:t>
      </w:r>
      <w:r>
        <w:t xml:space="preserve"> övers. Clas Livijn</w:t>
      </w:r>
      <w:r w:rsidR="00292340">
        <w:t>, Stockholm 1812</w:t>
      </w:r>
      <w:r w:rsidR="0048598A">
        <w:t>, 94 s.</w:t>
      </w:r>
      <w:r w:rsidR="00292340">
        <w:t xml:space="preserve"> </w:t>
      </w:r>
      <w:r w:rsidR="00762C08">
        <w:t>(</w:t>
      </w:r>
      <w:r w:rsidR="0003123A">
        <w:t>LUVIT</w:t>
      </w:r>
      <w:r w:rsidR="00762C08">
        <w:t xml:space="preserve">) </w:t>
      </w:r>
      <w:r w:rsidR="00292340">
        <w:t xml:space="preserve">(äv. </w:t>
      </w:r>
      <w:r>
        <w:t xml:space="preserve">omtr. </w:t>
      </w:r>
      <w:r w:rsidR="00292340">
        <w:t xml:space="preserve">Lund </w:t>
      </w:r>
      <w:r>
        <w:t>1999</w:t>
      </w:r>
      <w:r w:rsidR="0048598A">
        <w:t>, 122 s.</w:t>
      </w:r>
      <w:r>
        <w:t>)</w:t>
      </w:r>
    </w:p>
    <w:p w:rsidR="00A40FF9" w:rsidRDefault="00A40FF9" w:rsidP="000879C5">
      <w:pPr>
        <w:pStyle w:val="Body4"/>
      </w:pPr>
      <w:r w:rsidRPr="00E342B4">
        <w:t>Trotzig</w:t>
      </w:r>
      <w:r>
        <w:t>,</w:t>
      </w:r>
      <w:r w:rsidRPr="00A40FF9">
        <w:t xml:space="preserve"> </w:t>
      </w:r>
      <w:r w:rsidRPr="00E342B4">
        <w:t xml:space="preserve">Birgitta, ”Ormflickan” </w:t>
      </w:r>
      <w:r>
        <w:t>i förf:s</w:t>
      </w:r>
      <w:r w:rsidRPr="00E342B4">
        <w:t xml:space="preserve"> </w:t>
      </w:r>
      <w:r w:rsidRPr="00E342B4">
        <w:rPr>
          <w:i/>
        </w:rPr>
        <w:t>I kejsarens tid. Sagor</w:t>
      </w:r>
      <w:r>
        <w:t>, Stockholm 1975, s. 53–88</w:t>
      </w:r>
    </w:p>
    <w:p w:rsidR="000879C5" w:rsidRDefault="000879C5" w:rsidP="000879C5">
      <w:pPr>
        <w:pStyle w:val="Body4"/>
        <w:rPr>
          <w:rFonts w:ascii="Times New Roman" w:hAnsi="Times New Roman"/>
        </w:rPr>
      </w:pPr>
      <w:r w:rsidRPr="008022AC">
        <w:rPr>
          <w:rFonts w:ascii="Times New Roman" w:hAnsi="Times New Roman"/>
        </w:rPr>
        <w:t>Wilde</w:t>
      </w:r>
      <w:r>
        <w:rPr>
          <w:rFonts w:ascii="Times New Roman" w:hAnsi="Times New Roman"/>
        </w:rPr>
        <w:t xml:space="preserve">, </w:t>
      </w:r>
      <w:r w:rsidRPr="008022AC">
        <w:rPr>
          <w:rFonts w:ascii="Times New Roman" w:hAnsi="Times New Roman"/>
        </w:rPr>
        <w:t xml:space="preserve">Oscar, </w:t>
      </w:r>
      <w:r>
        <w:rPr>
          <w:rFonts w:ascii="Times New Roman" w:hAnsi="Times New Roman"/>
        </w:rPr>
        <w:t xml:space="preserve">”The Happy Prince” i förf:s </w:t>
      </w:r>
      <w:r w:rsidRPr="00065433">
        <w:rPr>
          <w:rFonts w:ascii="Times New Roman" w:hAnsi="Times New Roman"/>
          <w:i/>
        </w:rPr>
        <w:t>The Happy Prince and Other Tales</w:t>
      </w:r>
      <w:r>
        <w:rPr>
          <w:rFonts w:ascii="Times New Roman" w:hAnsi="Times New Roman"/>
        </w:rPr>
        <w:t xml:space="preserve">, London 1888 &amp; </w:t>
      </w:r>
      <w:r w:rsidRPr="008022AC">
        <w:rPr>
          <w:rFonts w:ascii="Times New Roman" w:hAnsi="Times New Roman"/>
        </w:rPr>
        <w:t>”The Star-Child”</w:t>
      </w:r>
      <w:r>
        <w:rPr>
          <w:rFonts w:ascii="Times New Roman" w:hAnsi="Times New Roman"/>
        </w:rPr>
        <w:t xml:space="preserve"> i förf:s </w:t>
      </w:r>
      <w:r w:rsidRPr="00065433">
        <w:rPr>
          <w:rFonts w:ascii="Times New Roman" w:hAnsi="Times New Roman"/>
          <w:i/>
        </w:rPr>
        <w:t>A House of Pomegranates</w:t>
      </w:r>
      <w:r>
        <w:rPr>
          <w:rFonts w:ascii="Times New Roman" w:hAnsi="Times New Roman"/>
        </w:rPr>
        <w:t xml:space="preserve">, London 1891 </w:t>
      </w:r>
      <w:r w:rsidR="00E12CF7">
        <w:t>(</w:t>
      </w:r>
      <w:r w:rsidR="0003123A">
        <w:t>LUVIT: uppl. 1909</w:t>
      </w:r>
      <w:r w:rsidR="00E12CF7">
        <w:t>)</w:t>
      </w:r>
      <w:r w:rsidR="00E12C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(äv. i sv. övers.: ”Den lycklige prinsen” &amp; ”Stjärnbarnet” i förf:s </w:t>
      </w:r>
      <w:r w:rsidRPr="00D0106B">
        <w:rPr>
          <w:rFonts w:ascii="Times New Roman" w:hAnsi="Times New Roman"/>
          <w:i/>
        </w:rPr>
        <w:t>Sagor</w:t>
      </w:r>
      <w:r>
        <w:rPr>
          <w:rFonts w:ascii="Times New Roman" w:hAnsi="Times New Roman"/>
        </w:rPr>
        <w:t>, övers.</w:t>
      </w:r>
      <w:r w:rsidR="00E12CF7">
        <w:rPr>
          <w:rFonts w:ascii="Times New Roman" w:hAnsi="Times New Roman"/>
        </w:rPr>
        <w:t xml:space="preserve"> Erik Andersson, Lund 1989, s. 7–20, 191–213</w:t>
      </w:r>
      <w:r>
        <w:rPr>
          <w:rFonts w:ascii="Times New Roman" w:hAnsi="Times New Roman"/>
        </w:rPr>
        <w:t>)</w:t>
      </w:r>
    </w:p>
    <w:p w:rsidR="00471298" w:rsidRDefault="00455514" w:rsidP="00471298">
      <w:pPr>
        <w:pStyle w:val="Body4"/>
        <w:rPr>
          <w:rFonts w:ascii="Times New Roman" w:hAnsi="Times New Roman"/>
        </w:rPr>
      </w:pPr>
      <w:r w:rsidRPr="00E342B4">
        <w:rPr>
          <w:rFonts w:ascii="Times New Roman" w:hAnsi="Times New Roman"/>
        </w:rPr>
        <w:t>Winterson</w:t>
      </w:r>
      <w:r>
        <w:rPr>
          <w:rFonts w:ascii="Times New Roman" w:hAnsi="Times New Roman"/>
        </w:rPr>
        <w:t xml:space="preserve">, </w:t>
      </w:r>
      <w:r w:rsidRPr="00E342B4">
        <w:rPr>
          <w:rFonts w:ascii="Times New Roman" w:hAnsi="Times New Roman"/>
        </w:rPr>
        <w:t xml:space="preserve">Jeanette, </w:t>
      </w:r>
      <w:r w:rsidRPr="00E342B4">
        <w:rPr>
          <w:rFonts w:ascii="Times New Roman" w:hAnsi="Times New Roman"/>
          <w:i/>
        </w:rPr>
        <w:t>Sexing the Cherry</w:t>
      </w:r>
      <w:r>
        <w:rPr>
          <w:rFonts w:ascii="Times New Roman" w:hAnsi="Times New Roman"/>
        </w:rPr>
        <w:t>, London 1989, 167 s. (äv. i sv. övers.:</w:t>
      </w:r>
      <w:r w:rsidRPr="00E342B4">
        <w:rPr>
          <w:rFonts w:ascii="Times New Roman" w:hAnsi="Times New Roman"/>
        </w:rPr>
        <w:t xml:space="preserve"> </w:t>
      </w:r>
      <w:r w:rsidRPr="00E342B4">
        <w:rPr>
          <w:rFonts w:ascii="Times New Roman" w:hAnsi="Times New Roman"/>
          <w:i/>
        </w:rPr>
        <w:t>Skapelsens kön</w:t>
      </w:r>
      <w:r>
        <w:rPr>
          <w:rFonts w:ascii="Times New Roman" w:hAnsi="Times New Roman"/>
        </w:rPr>
        <w:t xml:space="preserve">, övers. Boo Cassel, Stockholm </w:t>
      </w:r>
      <w:r w:rsidRPr="00E342B4">
        <w:rPr>
          <w:rFonts w:ascii="Times New Roman" w:hAnsi="Times New Roman"/>
        </w:rPr>
        <w:t>1992</w:t>
      </w:r>
      <w:r>
        <w:rPr>
          <w:rFonts w:ascii="Times New Roman" w:hAnsi="Times New Roman"/>
        </w:rPr>
        <w:t>, 222 s.</w:t>
      </w:r>
      <w:r w:rsidRPr="00E342B4">
        <w:rPr>
          <w:rFonts w:ascii="Times New Roman" w:hAnsi="Times New Roman"/>
        </w:rPr>
        <w:t>)</w:t>
      </w:r>
    </w:p>
    <w:p w:rsidR="00E47DC9" w:rsidRPr="00471298" w:rsidRDefault="00E47DC9" w:rsidP="00471298">
      <w:pPr>
        <w:rPr>
          <w:rFonts w:ascii="Times New Roman" w:hAnsi="Times New Roman"/>
          <w:b/>
        </w:rPr>
      </w:pPr>
      <w:r w:rsidRPr="00471298">
        <w:rPr>
          <w:b/>
        </w:rPr>
        <w:lastRenderedPageBreak/>
        <w:t>Sekundärlitteratur</w:t>
      </w:r>
    </w:p>
    <w:p w:rsidR="00E47DC9" w:rsidRDefault="00E47DC9" w:rsidP="00471298">
      <w:pPr>
        <w:rPr>
          <w:rFonts w:ascii="Times New Roman" w:hAnsi="Times New Roman"/>
        </w:rPr>
      </w:pPr>
    </w:p>
    <w:p w:rsidR="00826EDD" w:rsidRPr="00A55E01" w:rsidRDefault="00826EDD" w:rsidP="00826EDD">
      <w:pPr>
        <w:pStyle w:val="Body4"/>
        <w:rPr>
          <w:szCs w:val="24"/>
        </w:rPr>
      </w:pPr>
      <w:r w:rsidRPr="00A55E01">
        <w:rPr>
          <w:szCs w:val="24"/>
        </w:rPr>
        <w:t xml:space="preserve">Abraham, Hartwig &amp; Inge Thinnes, ”Zaubertrank”, </w:t>
      </w:r>
      <w:r w:rsidR="00A55E01" w:rsidRPr="00A55E01">
        <w:rPr>
          <w:i/>
          <w:szCs w:val="24"/>
        </w:rPr>
        <w:t>Enzyklopädie des Märchens. Handwörter</w:t>
      </w:r>
      <w:r w:rsidR="00A55E01">
        <w:rPr>
          <w:i/>
          <w:szCs w:val="24"/>
        </w:rPr>
        <w:t>-</w:t>
      </w:r>
      <w:r w:rsidR="00A55E01" w:rsidRPr="00A55E01">
        <w:rPr>
          <w:i/>
          <w:szCs w:val="24"/>
        </w:rPr>
        <w:t>buch zur historischen und vergleichenden Erzählforschung</w:t>
      </w:r>
      <w:r w:rsidR="00A55E01" w:rsidRPr="00A55E01">
        <w:rPr>
          <w:szCs w:val="24"/>
        </w:rPr>
        <w:t xml:space="preserve"> 14, red. Rolf Wilhelm Brednich, Berlin &amp; New York 2014</w:t>
      </w:r>
      <w:r w:rsidR="00300AC8" w:rsidRPr="00A55E01">
        <w:rPr>
          <w:szCs w:val="24"/>
        </w:rPr>
        <w:t xml:space="preserve">, </w:t>
      </w:r>
      <w:r w:rsidRPr="00A55E01">
        <w:rPr>
          <w:szCs w:val="24"/>
        </w:rPr>
        <w:t>sp. 1204–1208</w:t>
      </w:r>
      <w:r w:rsidR="00A55E01" w:rsidRPr="00A55E01">
        <w:rPr>
          <w:szCs w:val="24"/>
        </w:rPr>
        <w:t xml:space="preserve"> (LUVIT)</w:t>
      </w:r>
    </w:p>
    <w:p w:rsidR="0048598A" w:rsidRDefault="0048598A" w:rsidP="00826EDD">
      <w:pPr>
        <w:pStyle w:val="Body4"/>
      </w:pPr>
      <w:r w:rsidRPr="00A55E01">
        <w:rPr>
          <w:szCs w:val="24"/>
        </w:rPr>
        <w:t>Allen, Roger, ”An Analysis</w:t>
      </w:r>
      <w:r w:rsidRPr="00826EDD">
        <w:t xml:space="preserve"> of the ’Tale of the Three Apples’ from </w:t>
      </w:r>
      <w:r w:rsidRPr="00826EDD">
        <w:rPr>
          <w:i/>
        </w:rPr>
        <w:t>The Thousand and One Nights</w:t>
      </w:r>
      <w:r>
        <w:t xml:space="preserve">”, </w:t>
      </w:r>
      <w:r w:rsidRPr="002E1AB9">
        <w:rPr>
          <w:i/>
        </w:rPr>
        <w:t>The Arabian Nights Reader</w:t>
      </w:r>
      <w:r w:rsidR="00296368">
        <w:t>, red. Ulrich Marzolph, Detroit 2006</w:t>
      </w:r>
      <w:r>
        <w:t>, s. 239–248 (</w:t>
      </w:r>
      <w:r w:rsidR="0003123A">
        <w:t>LUVIT</w:t>
      </w:r>
      <w:r>
        <w:t>)</w:t>
      </w:r>
    </w:p>
    <w:p w:rsidR="008263C9" w:rsidRPr="008263C9" w:rsidRDefault="008263C9" w:rsidP="00826EDD">
      <w:pPr>
        <w:pStyle w:val="Body4"/>
      </w:pPr>
      <w:r w:rsidRPr="00E342B4">
        <w:t>Andrievskikh</w:t>
      </w:r>
      <w:r>
        <w:t xml:space="preserve">, </w:t>
      </w:r>
      <w:r w:rsidRPr="00E342B4">
        <w:t xml:space="preserve">Natalia, ”The Taste of Fairy Tale: Consumption as Theme and Textual Strategy in </w:t>
      </w:r>
      <w:r w:rsidRPr="00E342B4">
        <w:rPr>
          <w:i/>
          <w:iCs/>
        </w:rPr>
        <w:t>Sexing the Cherry</w:t>
      </w:r>
      <w:r w:rsidRPr="00E342B4">
        <w:t xml:space="preserve"> by Jeanette Winterson”, </w:t>
      </w:r>
      <w:r w:rsidRPr="00E342B4">
        <w:rPr>
          <w:i/>
        </w:rPr>
        <w:t>Pacific Coast Philology</w:t>
      </w:r>
      <w:r>
        <w:t xml:space="preserve"> 50:1, 2015, s. 5–24 (via LUBsearch)</w:t>
      </w:r>
    </w:p>
    <w:p w:rsidR="00D86364" w:rsidRDefault="00D86364" w:rsidP="008263C9">
      <w:pPr>
        <w:pStyle w:val="Body4"/>
      </w:pPr>
      <w:r>
        <w:rPr>
          <w:rFonts w:ascii="Times New Roman" w:hAnsi="Times New Roman"/>
        </w:rPr>
        <w:t xml:space="preserve">Angus, Douglas, ”Kafka’s Metamorphosis and ’The Beauty and the Beast’ Tale”, </w:t>
      </w:r>
      <w:r w:rsidRPr="00EB0216">
        <w:rPr>
          <w:rFonts w:ascii="Times New Roman" w:hAnsi="Times New Roman"/>
          <w:i/>
        </w:rPr>
        <w:t>The Journal of English and Germanic Philology</w:t>
      </w:r>
      <w:r>
        <w:rPr>
          <w:rFonts w:ascii="Times New Roman" w:hAnsi="Times New Roman"/>
        </w:rPr>
        <w:t xml:space="preserve"> 53:1, 1954, s. 69–71 </w:t>
      </w:r>
      <w:r>
        <w:t>(</w:t>
      </w:r>
      <w:r w:rsidR="0003123A">
        <w:t>LUVIT</w:t>
      </w:r>
      <w:r>
        <w:t>)</w:t>
      </w:r>
    </w:p>
    <w:p w:rsidR="00810CAB" w:rsidRDefault="00810CAB" w:rsidP="00E47DC9">
      <w:pPr>
        <w:pStyle w:val="Body4"/>
      </w:pPr>
      <w:r w:rsidRPr="00E342B4">
        <w:rPr>
          <w:rFonts w:ascii="Times New Roman" w:hAnsi="Times New Roman"/>
        </w:rPr>
        <w:t>Bak</w:t>
      </w:r>
      <w:r>
        <w:rPr>
          <w:rFonts w:ascii="Times New Roman" w:hAnsi="Times New Roman"/>
        </w:rPr>
        <w:t xml:space="preserve">, </w:t>
      </w:r>
      <w:r w:rsidRPr="00E342B4">
        <w:rPr>
          <w:rFonts w:ascii="Times New Roman" w:hAnsi="Times New Roman"/>
        </w:rPr>
        <w:t>Krzysztof, ”</w:t>
      </w:r>
      <w:r>
        <w:rPr>
          <w:rFonts w:ascii="Times New Roman" w:hAnsi="Times New Roman"/>
        </w:rPr>
        <w:t>De</w:t>
      </w:r>
      <w:r w:rsidR="00471298">
        <w:rPr>
          <w:rFonts w:ascii="Times New Roman" w:hAnsi="Times New Roman"/>
        </w:rPr>
        <w:t>n kluvna kärnan.</w:t>
      </w:r>
      <w:r>
        <w:rPr>
          <w:rFonts w:ascii="Times New Roman" w:hAnsi="Times New Roman"/>
        </w:rPr>
        <w:t xml:space="preserve"> Läsningar av </w:t>
      </w:r>
      <w:r w:rsidRPr="00E342B4">
        <w:rPr>
          <w:rFonts w:ascii="Times New Roman" w:hAnsi="Times New Roman"/>
        </w:rPr>
        <w:t>Birgitta</w:t>
      </w:r>
      <w:r>
        <w:rPr>
          <w:rFonts w:ascii="Times New Roman" w:hAnsi="Times New Roman"/>
        </w:rPr>
        <w:t xml:space="preserve"> </w:t>
      </w:r>
      <w:r w:rsidRPr="00E342B4">
        <w:rPr>
          <w:rFonts w:ascii="Times New Roman" w:hAnsi="Times New Roman"/>
        </w:rPr>
        <w:t>Trotzigs ’Ormflickan’”</w:t>
      </w:r>
      <w:r>
        <w:rPr>
          <w:rFonts w:ascii="Times New Roman" w:hAnsi="Times New Roman"/>
        </w:rPr>
        <w:t xml:space="preserve">, </w:t>
      </w:r>
      <w:r w:rsidRPr="0093654A">
        <w:rPr>
          <w:rStyle w:val="displayfields"/>
          <w:i/>
        </w:rPr>
        <w:t>Acta Universitatis Carolinae. Philologica. Germanistica Pragensia</w:t>
      </w:r>
      <w:r w:rsidRPr="00E342B4">
        <w:rPr>
          <w:rFonts w:ascii="Times New Roman" w:hAnsi="Times New Roman"/>
        </w:rPr>
        <w:t xml:space="preserve"> </w:t>
      </w:r>
      <w:r>
        <w:rPr>
          <w:rStyle w:val="displayfields"/>
        </w:rPr>
        <w:t xml:space="preserve">21:1, </w:t>
      </w:r>
      <w:r>
        <w:rPr>
          <w:rFonts w:ascii="Times New Roman" w:hAnsi="Times New Roman"/>
        </w:rPr>
        <w:t>2012, s. 87–118 (</w:t>
      </w:r>
      <w:r w:rsidR="00455514">
        <w:rPr>
          <w:rFonts w:ascii="Times New Roman" w:hAnsi="Times New Roman"/>
        </w:rPr>
        <w:t xml:space="preserve">via </w:t>
      </w:r>
      <w:r w:rsidR="00D459C3">
        <w:rPr>
          <w:rFonts w:ascii="Times New Roman" w:hAnsi="Times New Roman"/>
        </w:rPr>
        <w:t>www.diva-portal.se</w:t>
      </w:r>
      <w:r>
        <w:rPr>
          <w:rFonts w:ascii="Times New Roman" w:hAnsi="Times New Roman"/>
        </w:rPr>
        <w:t>)</w:t>
      </w:r>
    </w:p>
    <w:p w:rsidR="00D86364" w:rsidRDefault="00D86364" w:rsidP="00E47DC9">
      <w:pPr>
        <w:pStyle w:val="Body4"/>
      </w:pPr>
      <w:r>
        <w:rPr>
          <w:rFonts w:ascii="Times New Roman" w:hAnsi="Times New Roman"/>
        </w:rPr>
        <w:t xml:space="preserve">Bettelheim, Bruno, ”’Skönheten och Odjuret’” i förf:s </w:t>
      </w:r>
      <w:r w:rsidRPr="00863A14">
        <w:rPr>
          <w:rFonts w:ascii="Times New Roman" w:hAnsi="Times New Roman"/>
          <w:i/>
        </w:rPr>
        <w:t>Sagans förtrollade värld</w:t>
      </w:r>
      <w:r>
        <w:rPr>
          <w:rFonts w:ascii="Times New Roman" w:hAnsi="Times New Roman"/>
          <w:i/>
        </w:rPr>
        <w:t>. Folksagornas innebörd och betydelse</w:t>
      </w:r>
      <w:r>
        <w:rPr>
          <w:rFonts w:ascii="Times New Roman" w:hAnsi="Times New Roman"/>
        </w:rPr>
        <w:t xml:space="preserve"> (1976), över</w:t>
      </w:r>
      <w:r w:rsidR="00164657">
        <w:rPr>
          <w:rFonts w:ascii="Times New Roman" w:hAnsi="Times New Roman"/>
        </w:rPr>
        <w:t>s. Disa Törngren, Stockholm 1978</w:t>
      </w:r>
      <w:r>
        <w:rPr>
          <w:rFonts w:ascii="Times New Roman" w:hAnsi="Times New Roman"/>
        </w:rPr>
        <w:t xml:space="preserve">, s. 358–366 </w:t>
      </w:r>
      <w:r>
        <w:t>(</w:t>
      </w:r>
      <w:r w:rsidR="0003123A">
        <w:t>LUVIT</w:t>
      </w:r>
      <w:r>
        <w:t>)</w:t>
      </w:r>
    </w:p>
    <w:p w:rsidR="007D4C18" w:rsidRDefault="007D4C18" w:rsidP="00E47DC9">
      <w:pPr>
        <w:pStyle w:val="Body4"/>
      </w:pPr>
      <w:r>
        <w:t xml:space="preserve">Borgström, Eva, ”Euphrosyne och bilderna av det kvinnliga”, </w:t>
      </w:r>
      <w:r w:rsidRPr="003C4B13">
        <w:rPr>
          <w:i/>
        </w:rPr>
        <w:t>Romantikens kvinnor</w:t>
      </w:r>
      <w:r>
        <w:rPr>
          <w:i/>
        </w:rPr>
        <w:t>. Studier i det tidiga 1800-talets litteratur</w:t>
      </w:r>
      <w:r>
        <w:t>, red. Birgitta Ahlmo-Nilsson m.fl., Johanneshov 1990, s. 10–31</w:t>
      </w:r>
    </w:p>
    <w:p w:rsidR="00D86364" w:rsidRDefault="00D86364" w:rsidP="00E47DC9">
      <w:pPr>
        <w:pStyle w:val="Body4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 xml:space="preserve">Bridgwater, Patrick, </w:t>
      </w:r>
      <w:r w:rsidRPr="005C0979">
        <w:rPr>
          <w:rFonts w:ascii="Times New Roman" w:hAnsi="Times New Roman"/>
          <w:i/>
        </w:rPr>
        <w:t>Kafka. Gothic and Fairytale</w:t>
      </w:r>
      <w:r w:rsidR="00164657">
        <w:rPr>
          <w:rFonts w:ascii="Times New Roman" w:hAnsi="Times New Roman"/>
        </w:rPr>
        <w:t xml:space="preserve"> (200</w:t>
      </w:r>
      <w:r w:rsidR="00296368">
        <w:rPr>
          <w:rFonts w:ascii="Times New Roman" w:hAnsi="Times New Roman"/>
        </w:rPr>
        <w:t>3), Amsterdam &amp; New York</w:t>
      </w:r>
      <w:r w:rsidR="0016465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s. 166–171 </w:t>
      </w:r>
      <w:r>
        <w:t>(</w:t>
      </w:r>
      <w:r w:rsidR="0003123A">
        <w:t>LUVIT</w:t>
      </w:r>
      <w:r>
        <w:t>)</w:t>
      </w:r>
    </w:p>
    <w:p w:rsidR="00E47DC9" w:rsidRDefault="00E47DC9" w:rsidP="00E47DC9">
      <w:pPr>
        <w:pStyle w:val="Body4"/>
      </w:pPr>
      <w:r>
        <w:t xml:space="preserve">Fowler, Alastair, ”Concepts of </w:t>
      </w:r>
      <w:r w:rsidRPr="00832243">
        <w:rPr>
          <w:szCs w:val="24"/>
        </w:rPr>
        <w:t xml:space="preserve">Genre” i förf:s </w:t>
      </w:r>
      <w:r w:rsidR="006B221E" w:rsidRPr="00832243">
        <w:rPr>
          <w:i/>
          <w:szCs w:val="24"/>
        </w:rPr>
        <w:t>Kinds of Literature. An Introduction to the Theory of Genres and Modes</w:t>
      </w:r>
      <w:r w:rsidR="006B221E" w:rsidRPr="00832243">
        <w:rPr>
          <w:szCs w:val="24"/>
        </w:rPr>
        <w:t>, Oxford 1982</w:t>
      </w:r>
      <w:r w:rsidRPr="00832243">
        <w:rPr>
          <w:szCs w:val="24"/>
        </w:rPr>
        <w:t xml:space="preserve">, s. 37–53 (äv. i sv. övers.: ”Genrebegrepp” i: </w:t>
      </w:r>
      <w:r w:rsidRPr="00832243">
        <w:rPr>
          <w:i/>
          <w:szCs w:val="24"/>
        </w:rPr>
        <w:t>Genreteori</w:t>
      </w:r>
      <w:r w:rsidRPr="00832243">
        <w:rPr>
          <w:szCs w:val="24"/>
        </w:rPr>
        <w:t>, red. Eva Haettner Aurelius &amp; Thomas Götselius</w:t>
      </w:r>
      <w:r w:rsidR="00296368">
        <w:rPr>
          <w:szCs w:val="24"/>
        </w:rPr>
        <w:t>, Lund 1997</w:t>
      </w:r>
      <w:r>
        <w:t>, s. 254–273)</w:t>
      </w:r>
    </w:p>
    <w:p w:rsidR="005A4D85" w:rsidRDefault="005A4D85" w:rsidP="00DF427A">
      <w:pPr>
        <w:pStyle w:val="Body4"/>
      </w:pPr>
      <w:r>
        <w:t xml:space="preserve">Irwin, Robert, ”Sexual Fictions” i förf:s </w:t>
      </w:r>
      <w:r w:rsidRPr="00FF5F3C">
        <w:rPr>
          <w:i/>
        </w:rPr>
        <w:t>The Arabian Nights. A Companion</w:t>
      </w:r>
      <w:r w:rsidR="00296368">
        <w:t>, London etc. 1994</w:t>
      </w:r>
      <w:r>
        <w:t>, s. 159–163, 166–177 (</w:t>
      </w:r>
      <w:r w:rsidR="0003123A">
        <w:t>LUVIT</w:t>
      </w:r>
      <w:r>
        <w:t>)</w:t>
      </w:r>
    </w:p>
    <w:p w:rsidR="00826EDD" w:rsidRDefault="00826EDD" w:rsidP="00DF427A">
      <w:pPr>
        <w:pStyle w:val="Body4"/>
      </w:pPr>
      <w:r>
        <w:t xml:space="preserve">Jarvis, Shawn, ”Feminism and Fairy Tales”, </w:t>
      </w:r>
      <w:r w:rsidR="00300AC8" w:rsidRPr="00691EDC">
        <w:rPr>
          <w:i/>
        </w:rPr>
        <w:t>The Oxford Companion to Fairy Tales</w:t>
      </w:r>
      <w:r w:rsidR="00300AC8">
        <w:t xml:space="preserve">, red. Jack Zipes, 2:a uppl., </w:t>
      </w:r>
      <w:r w:rsidR="00B75091">
        <w:t xml:space="preserve">Oxford </w:t>
      </w:r>
      <w:r w:rsidR="00300AC8">
        <w:t>2015 (LUB: e-bok)</w:t>
      </w:r>
    </w:p>
    <w:p w:rsidR="00762C08" w:rsidRDefault="00762C08" w:rsidP="00DF427A">
      <w:pPr>
        <w:pStyle w:val="Body4"/>
      </w:pPr>
      <w:r>
        <w:rPr>
          <w:rFonts w:ascii="Times New Roman" w:hAnsi="Times New Roman"/>
        </w:rPr>
        <w:t xml:space="preserve">Lagerroth, Ulla-Britta, ”Trollet i människan – ett motiv hos Selma Lagerlöf”, </w:t>
      </w:r>
      <w:r w:rsidRPr="00FF07E6">
        <w:rPr>
          <w:rFonts w:ascii="Times New Roman" w:hAnsi="Times New Roman"/>
          <w:i/>
        </w:rPr>
        <w:t>Lagerlöfstudier</w:t>
      </w:r>
      <w:r>
        <w:rPr>
          <w:rFonts w:ascii="Times New Roman" w:hAnsi="Times New Roman"/>
        </w:rPr>
        <w:t xml:space="preserve"> 4, 1971, s. 33–45 </w:t>
      </w:r>
      <w:r>
        <w:t>(</w:t>
      </w:r>
      <w:r w:rsidR="0003123A">
        <w:t>LUVIT</w:t>
      </w:r>
      <w:r>
        <w:t>)</w:t>
      </w:r>
    </w:p>
    <w:p w:rsidR="00810CAB" w:rsidRDefault="00810CAB" w:rsidP="00DF427A">
      <w:pPr>
        <w:pStyle w:val="Body4"/>
      </w:pPr>
      <w:r>
        <w:rPr>
          <w:rFonts w:ascii="Times New Roman" w:hAnsi="Times New Roman"/>
        </w:rPr>
        <w:t xml:space="preserve">Lüthi, Max, ”Depthlessness” i förf:s </w:t>
      </w:r>
      <w:r w:rsidRPr="00745E2B">
        <w:rPr>
          <w:rFonts w:ascii="Times New Roman" w:hAnsi="Times New Roman"/>
          <w:i/>
        </w:rPr>
        <w:t>The European Folktale: Form and Nature</w:t>
      </w:r>
      <w:r>
        <w:rPr>
          <w:rFonts w:ascii="Times New Roman" w:hAnsi="Times New Roman"/>
        </w:rPr>
        <w:t xml:space="preserve"> (1947</w:t>
      </w:r>
      <w:r w:rsidR="0029636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eng. övers. </w:t>
      </w:r>
      <w:r w:rsidR="00296368">
        <w:rPr>
          <w:rFonts w:ascii="Times New Roman" w:hAnsi="Times New Roman"/>
        </w:rPr>
        <w:t>John D. Niles, Bloomington 1986</w:t>
      </w:r>
      <w:r>
        <w:rPr>
          <w:rFonts w:ascii="Times New Roman" w:hAnsi="Times New Roman"/>
        </w:rPr>
        <w:t xml:space="preserve">, s. 11–23 </w:t>
      </w:r>
      <w:r>
        <w:t>(LUVIT)</w:t>
      </w:r>
    </w:p>
    <w:p w:rsidR="00455514" w:rsidRDefault="00455514" w:rsidP="00DF427A">
      <w:pPr>
        <w:pStyle w:val="Body4"/>
      </w:pPr>
      <w:r w:rsidRPr="00E342B4">
        <w:rPr>
          <w:rFonts w:ascii="Times New Roman" w:hAnsi="Times New Roman"/>
        </w:rPr>
        <w:t>Makinen</w:t>
      </w:r>
      <w:r>
        <w:rPr>
          <w:rFonts w:ascii="Times New Roman" w:hAnsi="Times New Roman"/>
        </w:rPr>
        <w:t xml:space="preserve">, </w:t>
      </w:r>
      <w:r w:rsidRPr="00E342B4">
        <w:rPr>
          <w:rFonts w:ascii="Times New Roman" w:hAnsi="Times New Roman"/>
        </w:rPr>
        <w:t xml:space="preserve">Merja, ”Theorizing Fairy-Tale Fiction: Reading Jeanette Winterson”, </w:t>
      </w:r>
      <w:r w:rsidRPr="00E342B4">
        <w:rPr>
          <w:rFonts w:ascii="Times New Roman" w:hAnsi="Times New Roman"/>
          <w:i/>
        </w:rPr>
        <w:t>Contempo</w:t>
      </w:r>
      <w:r>
        <w:rPr>
          <w:rFonts w:ascii="Times New Roman" w:hAnsi="Times New Roman"/>
          <w:i/>
        </w:rPr>
        <w:t>-</w:t>
      </w:r>
      <w:r w:rsidRPr="00E342B4">
        <w:rPr>
          <w:rFonts w:ascii="Times New Roman" w:hAnsi="Times New Roman"/>
          <w:i/>
        </w:rPr>
        <w:t>rary Fiction and the Fairy Tale</w:t>
      </w:r>
      <w:r w:rsidR="008263C9">
        <w:rPr>
          <w:rFonts w:ascii="Times New Roman" w:hAnsi="Times New Roman"/>
        </w:rPr>
        <w:t>, red. Stephen Benson, Detroit 2008</w:t>
      </w:r>
      <w:r w:rsidRPr="00E342B4">
        <w:rPr>
          <w:rFonts w:ascii="Times New Roman" w:hAnsi="Times New Roman"/>
        </w:rPr>
        <w:t>, s. 144–177</w:t>
      </w:r>
      <w:r>
        <w:rPr>
          <w:rFonts w:ascii="Times New Roman" w:hAnsi="Times New Roman"/>
        </w:rPr>
        <w:t xml:space="preserve"> </w:t>
      </w:r>
      <w:r w:rsidR="008263C9">
        <w:t>(</w:t>
      </w:r>
      <w:r>
        <w:t>LUB</w:t>
      </w:r>
      <w:r w:rsidR="008263C9">
        <w:t>: e-bok</w:t>
      </w:r>
      <w:r>
        <w:t>)</w:t>
      </w:r>
    </w:p>
    <w:p w:rsidR="000879C5" w:rsidRDefault="000879C5" w:rsidP="00DF427A">
      <w:pPr>
        <w:pStyle w:val="Body4"/>
      </w:pPr>
      <w:r>
        <w:rPr>
          <w:rFonts w:ascii="Times New Roman" w:hAnsi="Times New Roman"/>
        </w:rPr>
        <w:t xml:space="preserve">Monaghan, David M., ”The Literary Fairy-Tale: A Study of Oscar Wilde’s ’The Happy Prince’ and ’The Star-Child’”, </w:t>
      </w:r>
      <w:r w:rsidRPr="00E92C32">
        <w:rPr>
          <w:rFonts w:ascii="Times New Roman" w:hAnsi="Times New Roman"/>
          <w:i/>
        </w:rPr>
        <w:t>Canadian Review of Comparative Literature</w:t>
      </w:r>
      <w:r>
        <w:rPr>
          <w:rFonts w:ascii="Times New Roman" w:hAnsi="Times New Roman"/>
        </w:rPr>
        <w:t xml:space="preserve"> 1:2 1974, s. 156–166</w:t>
      </w:r>
      <w:r w:rsidRPr="008022AC">
        <w:rPr>
          <w:rFonts w:ascii="Times New Roman" w:hAnsi="Times New Roman"/>
        </w:rPr>
        <w:t xml:space="preserve"> </w:t>
      </w:r>
      <w:r>
        <w:t>(via LUBsearch)</w:t>
      </w:r>
    </w:p>
    <w:p w:rsidR="00FA2786" w:rsidRDefault="00FA2786" w:rsidP="00FA2786">
      <w:pPr>
        <w:pStyle w:val="Body4"/>
      </w:pPr>
      <w:r>
        <w:lastRenderedPageBreak/>
        <w:t>Murphy, Terence Patrick, ”</w:t>
      </w:r>
      <w:r w:rsidRPr="00FD064B">
        <w:rPr>
          <w:i/>
        </w:rPr>
        <w:t>Puss-in-Boots</w:t>
      </w:r>
      <w:r>
        <w:t xml:space="preserve">: The Character of the Angelic Double” i förf:s </w:t>
      </w:r>
      <w:r w:rsidRPr="00AA7CE3">
        <w:rPr>
          <w:i/>
        </w:rPr>
        <w:t>The Fairytale and Plot Structure</w:t>
      </w:r>
      <w:r>
        <w:t>, New York 2015, s. 118–128 (LUVIT)</w:t>
      </w:r>
    </w:p>
    <w:p w:rsidR="00DF427A" w:rsidRDefault="00DF427A" w:rsidP="007D4C18">
      <w:pPr>
        <w:pStyle w:val="Body4"/>
      </w:pPr>
      <w:r>
        <w:t xml:space="preserve">Myers, </w:t>
      </w:r>
      <w:r w:rsidRPr="00C80EF9">
        <w:t xml:space="preserve">Perry, ”Ludwig Tieck’s </w:t>
      </w:r>
      <w:r w:rsidRPr="00C80EF9">
        <w:rPr>
          <w:i/>
        </w:rPr>
        <w:t>Der gestiefelte Kater</w:t>
      </w:r>
      <w:r w:rsidRPr="00C80EF9">
        <w:t xml:space="preserve">: Striking the Balance Between the Idealistic and the Fantastic”, </w:t>
      </w:r>
      <w:r w:rsidRPr="00C80EF9">
        <w:rPr>
          <w:i/>
        </w:rPr>
        <w:t xml:space="preserve">Monatshefte </w:t>
      </w:r>
      <w:r w:rsidRPr="00C80EF9">
        <w:t>96:1, 2004, s. 62–77</w:t>
      </w:r>
      <w:r>
        <w:t xml:space="preserve"> (via LUBsearch)</w:t>
      </w:r>
    </w:p>
    <w:p w:rsidR="00EC1420" w:rsidRDefault="00EC1420" w:rsidP="00EC1420">
      <w:pPr>
        <w:pStyle w:val="Body4"/>
      </w:pPr>
      <w:r>
        <w:t xml:space="preserve">Nyborg, Eigil, ”Snedronningen” i förf:s </w:t>
      </w:r>
      <w:r w:rsidRPr="002654EA">
        <w:rPr>
          <w:i/>
        </w:rPr>
        <w:t>Den indre linje i H. C. Andersens eventyr</w:t>
      </w:r>
      <w:r>
        <w:rPr>
          <w:i/>
        </w:rPr>
        <w:t>. En psykologisk studie</w:t>
      </w:r>
      <w:r>
        <w:t>, 3:e uppl., Köpenhamn 2005, s. 123–157 (LUB: e-bok)</w:t>
      </w:r>
    </w:p>
    <w:p w:rsidR="00FD3518" w:rsidRDefault="00FD3518" w:rsidP="00EC1420">
      <w:pPr>
        <w:pStyle w:val="Body4"/>
        <w:rPr>
          <w:rFonts w:ascii="Times New Roman" w:hAnsi="Times New Roman"/>
        </w:rPr>
      </w:pPr>
      <w:r w:rsidRPr="008022AC">
        <w:rPr>
          <w:rFonts w:ascii="Times New Roman" w:hAnsi="Times New Roman"/>
        </w:rPr>
        <w:t>Simonsen</w:t>
      </w:r>
      <w:r>
        <w:rPr>
          <w:rFonts w:ascii="Times New Roman" w:hAnsi="Times New Roman"/>
        </w:rPr>
        <w:t xml:space="preserve">, </w:t>
      </w:r>
      <w:r w:rsidRPr="008022AC">
        <w:rPr>
          <w:rFonts w:ascii="Times New Roman" w:hAnsi="Times New Roman"/>
        </w:rPr>
        <w:t xml:space="preserve">Rasmus R., </w:t>
      </w:r>
      <w:r>
        <w:rPr>
          <w:rFonts w:ascii="Times New Roman" w:hAnsi="Times New Roman"/>
        </w:rPr>
        <w:t xml:space="preserve">”Dark Avunculate: Shame, Animality, and Queer Development in Oscar Wilde’s ’The Star-Child’”, </w:t>
      </w:r>
      <w:r w:rsidRPr="00FD3518">
        <w:rPr>
          <w:rFonts w:ascii="Times New Roman" w:hAnsi="Times New Roman"/>
          <w:i/>
        </w:rPr>
        <w:t>Children’s Literature</w:t>
      </w:r>
      <w:r>
        <w:rPr>
          <w:rFonts w:ascii="Times New Roman" w:hAnsi="Times New Roman"/>
        </w:rPr>
        <w:t xml:space="preserve"> 42, 2014, s. 20–41 (via LUBsearch)</w:t>
      </w:r>
    </w:p>
    <w:p w:rsidR="00832243" w:rsidRDefault="00832243" w:rsidP="00E47DC9">
      <w:pPr>
        <w:pStyle w:val="Body4"/>
      </w:pPr>
      <w:r>
        <w:t xml:space="preserve">Teverson, Andrew, </w:t>
      </w:r>
      <w:r w:rsidRPr="00C64EEB">
        <w:rPr>
          <w:i/>
        </w:rPr>
        <w:t>Fairy Tale</w:t>
      </w:r>
      <w:r>
        <w:t>, London 2013</w:t>
      </w:r>
      <w:r w:rsidR="003012C5">
        <w:t xml:space="preserve"> </w:t>
      </w:r>
      <w:r>
        <w:t>(LUB: e-bok)</w:t>
      </w:r>
    </w:p>
    <w:p w:rsidR="00FA252B" w:rsidRDefault="00FA252B" w:rsidP="00E47DC9">
      <w:pPr>
        <w:pStyle w:val="Body4"/>
      </w:pPr>
      <w:r>
        <w:t xml:space="preserve">Weitzman, Erica, ”The World in Pieces: Concepts of Anxiety in H. C. Andersen’s ’The Snow Queen’”, </w:t>
      </w:r>
      <w:r w:rsidRPr="00B3538B">
        <w:rPr>
          <w:i/>
        </w:rPr>
        <w:t>Modern Language Notes</w:t>
      </w:r>
      <w:r>
        <w:t xml:space="preserve"> 122:5, 2007, s. 1105–1123 (via LUBsearch)</w:t>
      </w:r>
    </w:p>
    <w:p w:rsidR="009A0FB0" w:rsidRDefault="009A0FB0" w:rsidP="00E47DC9">
      <w:pPr>
        <w:pStyle w:val="Body4"/>
      </w:pPr>
      <w:r>
        <w:t xml:space="preserve">Wolfe, Paula &amp; Danielle </w:t>
      </w:r>
      <w:r w:rsidR="00187DB3">
        <w:t xml:space="preserve">Kleijwegt, ”Interpreting Graphic Versions of Shakespearean Plays”, </w:t>
      </w:r>
      <w:r w:rsidR="00187DB3" w:rsidRPr="000D69B9">
        <w:rPr>
          <w:i/>
        </w:rPr>
        <w:t>The Eng</w:t>
      </w:r>
      <w:r w:rsidR="000D69B9" w:rsidRPr="000D69B9">
        <w:rPr>
          <w:i/>
        </w:rPr>
        <w:t>lish Journal</w:t>
      </w:r>
      <w:r w:rsidR="000D69B9">
        <w:t xml:space="preserve"> 101:5, 2012, s. 30</w:t>
      </w:r>
      <w:r w:rsidR="00187DB3">
        <w:t xml:space="preserve">–36 </w:t>
      </w:r>
      <w:r w:rsidR="000D69B9">
        <w:t>(via LUBsearch)</w:t>
      </w:r>
    </w:p>
    <w:p w:rsidR="003D0649" w:rsidRDefault="003D0649" w:rsidP="00E47DC9">
      <w:pPr>
        <w:pStyle w:val="Body4"/>
      </w:pPr>
      <w:r>
        <w:t xml:space="preserve">Zipes, Jack, ”Fairy-Tale Discourse: Toward a Social History of the Genre” </w:t>
      </w:r>
      <w:r w:rsidR="00752290">
        <w:t xml:space="preserve">i förf:s </w:t>
      </w:r>
      <w:r w:rsidR="00752290" w:rsidRPr="00C36AB5">
        <w:rPr>
          <w:i/>
        </w:rPr>
        <w:t>Fairy Tales and the Art of Subversion. The Classical Genre for Children and the Process of Civili</w:t>
      </w:r>
      <w:r w:rsidR="00752290">
        <w:rPr>
          <w:i/>
        </w:rPr>
        <w:t>-</w:t>
      </w:r>
      <w:r w:rsidR="00752290" w:rsidRPr="00C36AB5">
        <w:rPr>
          <w:i/>
        </w:rPr>
        <w:t>sation</w:t>
      </w:r>
      <w:r w:rsidR="00752290">
        <w:t xml:space="preserve">, </w:t>
      </w:r>
      <w:r w:rsidR="00D459C3">
        <w:t>2:a uppl., New York 2006</w:t>
      </w:r>
      <w:r>
        <w:t>, s. 1–11</w:t>
      </w:r>
      <w:r w:rsidR="00752290">
        <w:t xml:space="preserve"> (LUB: e-bok)</w:t>
      </w:r>
    </w:p>
    <w:p w:rsidR="007D4C18" w:rsidRDefault="007D4C18" w:rsidP="00E47DC9">
      <w:pPr>
        <w:pStyle w:val="Body4"/>
      </w:pPr>
    </w:p>
    <w:p w:rsidR="00E47DC9" w:rsidRDefault="007D4C18">
      <w:r>
        <w:tab/>
      </w:r>
      <w:r>
        <w:tab/>
      </w:r>
      <w:r>
        <w:tab/>
      </w:r>
      <w:r>
        <w:tab/>
      </w:r>
      <w:r>
        <w:tab/>
        <w:t xml:space="preserve">                    nov. 2016/EZ</w:t>
      </w:r>
    </w:p>
    <w:sectPr w:rsidR="00E47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F8" w:rsidRDefault="002576F8" w:rsidP="003012C5">
      <w:r>
        <w:separator/>
      </w:r>
    </w:p>
  </w:endnote>
  <w:endnote w:type="continuationSeparator" w:id="0">
    <w:p w:rsidR="002576F8" w:rsidRDefault="002576F8" w:rsidP="0030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5296"/>
      <w:docPartObj>
        <w:docPartGallery w:val="Page Numbers (Bottom of Page)"/>
        <w:docPartUnique/>
      </w:docPartObj>
    </w:sdtPr>
    <w:sdtEndPr/>
    <w:sdtContent>
      <w:p w:rsidR="003012C5" w:rsidRDefault="003012C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F6B">
          <w:t>1</w:t>
        </w:r>
        <w:r>
          <w:fldChar w:fldCharType="end"/>
        </w:r>
      </w:p>
    </w:sdtContent>
  </w:sdt>
  <w:p w:rsidR="003012C5" w:rsidRDefault="003012C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F8" w:rsidRDefault="002576F8" w:rsidP="003012C5">
      <w:r>
        <w:separator/>
      </w:r>
    </w:p>
  </w:footnote>
  <w:footnote w:type="continuationSeparator" w:id="0">
    <w:p w:rsidR="002576F8" w:rsidRDefault="002576F8" w:rsidP="0030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C9"/>
    <w:rsid w:val="00006848"/>
    <w:rsid w:val="0003123A"/>
    <w:rsid w:val="0005183B"/>
    <w:rsid w:val="000879C5"/>
    <w:rsid w:val="000B38CD"/>
    <w:rsid w:val="000D69B9"/>
    <w:rsid w:val="0014196A"/>
    <w:rsid w:val="00164657"/>
    <w:rsid w:val="00187DB3"/>
    <w:rsid w:val="001A447B"/>
    <w:rsid w:val="001C1D67"/>
    <w:rsid w:val="001C7116"/>
    <w:rsid w:val="002576F8"/>
    <w:rsid w:val="00292340"/>
    <w:rsid w:val="00296368"/>
    <w:rsid w:val="00300AC8"/>
    <w:rsid w:val="003012C5"/>
    <w:rsid w:val="0034229C"/>
    <w:rsid w:val="003D0649"/>
    <w:rsid w:val="00414F36"/>
    <w:rsid w:val="0044771E"/>
    <w:rsid w:val="00455514"/>
    <w:rsid w:val="00471298"/>
    <w:rsid w:val="0048598A"/>
    <w:rsid w:val="0053628E"/>
    <w:rsid w:val="005A4D85"/>
    <w:rsid w:val="006136C5"/>
    <w:rsid w:val="006B221E"/>
    <w:rsid w:val="00752290"/>
    <w:rsid w:val="00762C08"/>
    <w:rsid w:val="00765F72"/>
    <w:rsid w:val="007C676D"/>
    <w:rsid w:val="007D4C18"/>
    <w:rsid w:val="007E7F11"/>
    <w:rsid w:val="00810CAB"/>
    <w:rsid w:val="008263C9"/>
    <w:rsid w:val="00826EDD"/>
    <w:rsid w:val="00830A05"/>
    <w:rsid w:val="00832243"/>
    <w:rsid w:val="0091030D"/>
    <w:rsid w:val="00941847"/>
    <w:rsid w:val="009A0FB0"/>
    <w:rsid w:val="00A40FF9"/>
    <w:rsid w:val="00A55E01"/>
    <w:rsid w:val="00A8246F"/>
    <w:rsid w:val="00B31965"/>
    <w:rsid w:val="00B75091"/>
    <w:rsid w:val="00BD0696"/>
    <w:rsid w:val="00C00A81"/>
    <w:rsid w:val="00C75276"/>
    <w:rsid w:val="00C94DB5"/>
    <w:rsid w:val="00CA69F1"/>
    <w:rsid w:val="00D008CC"/>
    <w:rsid w:val="00D27C4C"/>
    <w:rsid w:val="00D459C3"/>
    <w:rsid w:val="00D45F6B"/>
    <w:rsid w:val="00D47E60"/>
    <w:rsid w:val="00D61547"/>
    <w:rsid w:val="00D86364"/>
    <w:rsid w:val="00DD7D6C"/>
    <w:rsid w:val="00DF427A"/>
    <w:rsid w:val="00E008F9"/>
    <w:rsid w:val="00E12CF7"/>
    <w:rsid w:val="00E47DC9"/>
    <w:rsid w:val="00E726A9"/>
    <w:rsid w:val="00EA01CF"/>
    <w:rsid w:val="00EC0578"/>
    <w:rsid w:val="00EC1420"/>
    <w:rsid w:val="00F67DF3"/>
    <w:rsid w:val="00FA252B"/>
    <w:rsid w:val="00FA2786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C9"/>
    <w:rPr>
      <w:rFonts w:eastAsiaTheme="minorHAnsi"/>
      <w:noProof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E47DC9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D3518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FD3518"/>
    <w:rPr>
      <w:b/>
      <w:bCs/>
    </w:rPr>
  </w:style>
  <w:style w:type="character" w:customStyle="1" w:styleId="displayfields">
    <w:name w:val="displayfields"/>
    <w:basedOn w:val="Standardstycketeckensnitt"/>
    <w:rsid w:val="00810CAB"/>
  </w:style>
  <w:style w:type="character" w:customStyle="1" w:styleId="Underrubrik1">
    <w:name w:val="Underrubrik1"/>
    <w:basedOn w:val="Standardstycketeckensnitt"/>
    <w:rsid w:val="008263C9"/>
  </w:style>
  <w:style w:type="paragraph" w:styleId="Sidhuvud">
    <w:name w:val="header"/>
    <w:basedOn w:val="Normal"/>
    <w:link w:val="SidhuvudChar"/>
    <w:uiPriority w:val="99"/>
    <w:unhideWhenUsed/>
    <w:rsid w:val="003012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012C5"/>
    <w:rPr>
      <w:rFonts w:eastAsiaTheme="minorHAnsi"/>
      <w:noProof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012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012C5"/>
    <w:rPr>
      <w:rFonts w:eastAsiaTheme="minorHAnsi"/>
      <w:noProof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5F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5F6B"/>
    <w:rPr>
      <w:rFonts w:ascii="Tahoma" w:eastAsiaTheme="minorHAnsi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C9"/>
    <w:rPr>
      <w:rFonts w:eastAsiaTheme="minorHAnsi"/>
      <w:noProof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E47DC9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D3518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FD3518"/>
    <w:rPr>
      <w:b/>
      <w:bCs/>
    </w:rPr>
  </w:style>
  <w:style w:type="character" w:customStyle="1" w:styleId="displayfields">
    <w:name w:val="displayfields"/>
    <w:basedOn w:val="Standardstycketeckensnitt"/>
    <w:rsid w:val="00810CAB"/>
  </w:style>
  <w:style w:type="character" w:customStyle="1" w:styleId="Underrubrik1">
    <w:name w:val="Underrubrik1"/>
    <w:basedOn w:val="Standardstycketeckensnitt"/>
    <w:rsid w:val="008263C9"/>
  </w:style>
  <w:style w:type="paragraph" w:styleId="Sidhuvud">
    <w:name w:val="header"/>
    <w:basedOn w:val="Normal"/>
    <w:link w:val="SidhuvudChar"/>
    <w:uiPriority w:val="99"/>
    <w:unhideWhenUsed/>
    <w:rsid w:val="003012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012C5"/>
    <w:rPr>
      <w:rFonts w:eastAsiaTheme="minorHAnsi"/>
      <w:noProof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012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012C5"/>
    <w:rPr>
      <w:rFonts w:eastAsiaTheme="minorHAnsi"/>
      <w:noProof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5F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5F6B"/>
    <w:rPr>
      <w:rFonts w:ascii="Tahoma" w:eastAsiaTheme="minorHAnsi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kans-esi</cp:lastModifiedBy>
  <cp:revision>2</cp:revision>
  <cp:lastPrinted>2016-11-30T13:05:00Z</cp:lastPrinted>
  <dcterms:created xsi:type="dcterms:W3CDTF">2016-11-30T13:06:00Z</dcterms:created>
  <dcterms:modified xsi:type="dcterms:W3CDTF">2016-11-30T13:06:00Z</dcterms:modified>
</cp:coreProperties>
</file>